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6075B" w:rsidRDefault="002F3A2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#103</w:t>
      </w:r>
      <w:r>
        <w:rPr>
          <w:rFonts w:ascii="Arial" w:hAnsi="Arial" w:cs="Arial"/>
          <w:b/>
          <w:bCs/>
          <w:sz w:val="22"/>
          <w:szCs w:val="22"/>
        </w:rPr>
        <w:t>-e</w:t>
      </w:r>
      <w:r>
        <w:rPr>
          <w:rFonts w:ascii="Arial" w:hAnsi="Arial" w:cs="Arial"/>
          <w:b/>
          <w:bCs/>
          <w:sz w:val="22"/>
          <w:szCs w:val="22"/>
        </w:rPr>
        <w:tab/>
      </w:r>
      <w:r>
        <w:rPr>
          <w:rFonts w:ascii="Arial" w:hAnsi="Arial" w:cs="Arial" w:hint="eastAsia"/>
          <w:b/>
          <w:bCs/>
          <w:sz w:val="22"/>
          <w:szCs w:val="22"/>
        </w:rPr>
        <w:t xml:space="preserve">                                                  </w:t>
      </w:r>
      <w:r>
        <w:rPr>
          <w:rFonts w:ascii="Arial" w:hAnsi="Arial" w:cs="Arial"/>
          <w:b/>
          <w:bCs/>
          <w:sz w:val="22"/>
          <w:szCs w:val="22"/>
        </w:rPr>
        <w:t>R1-20</w:t>
      </w:r>
      <w:r>
        <w:rPr>
          <w:rFonts w:ascii="Arial" w:hAnsi="Arial" w:cs="Arial" w:hint="eastAsia"/>
          <w:b/>
          <w:bCs/>
          <w:sz w:val="22"/>
          <w:szCs w:val="22"/>
        </w:rPr>
        <w:t>08859</w:t>
      </w:r>
    </w:p>
    <w:p w:rsidR="0006075B" w:rsidRDefault="002F3A2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hint="eastAsia"/>
          <w:b/>
          <w:bCs/>
          <w:sz w:val="22"/>
          <w:szCs w:val="22"/>
        </w:rPr>
        <w:t>October</w:t>
      </w:r>
      <w:r>
        <w:rPr>
          <w:rFonts w:ascii="Arial" w:hAnsi="Arial" w:cs="Arial" w:hint="eastAsia"/>
          <w:b/>
          <w:bCs/>
          <w:sz w:val="22"/>
          <w:szCs w:val="22"/>
          <w:lang w:eastAsia="ja-JP"/>
        </w:rPr>
        <w:t xml:space="preserve"> </w:t>
      </w:r>
      <w:r>
        <w:rPr>
          <w:rFonts w:ascii="Arial" w:hAnsi="Arial" w:cs="Arial" w:hint="eastAsia"/>
          <w:b/>
          <w:bCs/>
          <w:sz w:val="22"/>
          <w:szCs w:val="22"/>
        </w:rPr>
        <w:t>26</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November 13</w:t>
      </w:r>
      <w:r>
        <w:rPr>
          <w:rFonts w:ascii="Arial" w:hAnsi="Arial" w:cs="Arial" w:hint="eastAsia"/>
          <w:b/>
          <w:bCs/>
          <w:sz w:val="22"/>
          <w:szCs w:val="22"/>
          <w:vertAlign w:val="superscript"/>
        </w:rPr>
        <w:t>th</w:t>
      </w:r>
      <w:r>
        <w:rPr>
          <w:rFonts w:ascii="Arial" w:hAnsi="Arial" w:cs="Arial" w:hint="eastAsia"/>
          <w:b/>
          <w:bCs/>
          <w:sz w:val="22"/>
          <w:szCs w:val="22"/>
          <w:lang w:eastAsia="ja-JP"/>
        </w:rPr>
        <w:t>, 202</w:t>
      </w:r>
      <w:r>
        <w:rPr>
          <w:rFonts w:ascii="Arial" w:hAnsi="Arial" w:cs="Arial" w:hint="eastAsia"/>
          <w:b/>
          <w:bCs/>
          <w:sz w:val="22"/>
          <w:szCs w:val="22"/>
        </w:rPr>
        <w:t>0</w:t>
      </w:r>
    </w:p>
    <w:p w:rsidR="0006075B" w:rsidRDefault="002F3A23">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Enhancements for simultaneous operation of child and parent links</w:t>
      </w:r>
    </w:p>
    <w:p w:rsidR="0006075B" w:rsidRDefault="002F3A23">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06075B" w:rsidRDefault="002F3A23">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8.10.2</w:t>
      </w:r>
    </w:p>
    <w:p w:rsidR="0006075B" w:rsidRDefault="002F3A23">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6075B" w:rsidRDefault="002F3A23">
      <w:pPr>
        <w:pStyle w:val="1"/>
        <w:spacing w:before="120" w:after="120"/>
        <w:ind w:left="0"/>
        <w:rPr>
          <w:rFonts w:eastAsia="宋体"/>
        </w:rPr>
      </w:pPr>
      <w:r>
        <w:rPr>
          <w:rFonts w:eastAsia="宋体" w:hint="eastAsia"/>
        </w:rPr>
        <w:t>Introduction</w:t>
      </w:r>
    </w:p>
    <w:p w:rsidR="0006075B" w:rsidRDefault="002F3A23">
      <w:pPr>
        <w:spacing w:before="120" w:after="120"/>
        <w:rPr>
          <w:sz w:val="20"/>
        </w:rPr>
      </w:pPr>
      <w:r>
        <w:rPr>
          <w:rFonts w:hint="eastAsia"/>
          <w:sz w:val="20"/>
        </w:rPr>
        <w:t>I</w:t>
      </w:r>
      <w:r>
        <w:rPr>
          <w:sz w:val="20"/>
        </w:rPr>
        <w:t>n order to support simultaneous operation</w:t>
      </w:r>
      <w:r>
        <w:rPr>
          <w:rFonts w:hint="eastAsia"/>
          <w:sz w:val="20"/>
        </w:rPr>
        <w:t xml:space="preserve"> </w:t>
      </w:r>
      <w:r>
        <w:rPr>
          <w:sz w:val="20"/>
        </w:rPr>
        <w:t>by IAB-node’s child and parent links</w:t>
      </w:r>
      <w:r>
        <w:rPr>
          <w:rFonts w:hint="eastAsia"/>
          <w:sz w:val="20"/>
        </w:rPr>
        <w:t>, some enhancements</w:t>
      </w:r>
      <w:r>
        <w:rPr>
          <w:sz w:val="20"/>
        </w:rPr>
        <w:t xml:space="preserve"> such as</w:t>
      </w:r>
      <w:r>
        <w:rPr>
          <w:rFonts w:hint="eastAsia"/>
          <w:sz w:val="20"/>
        </w:rPr>
        <w:t xml:space="preserve"> </w:t>
      </w:r>
      <w:r>
        <w:rPr>
          <w:sz w:val="20"/>
        </w:rPr>
        <w:t xml:space="preserve">IAB-node timing </w:t>
      </w:r>
      <w:r>
        <w:rPr>
          <w:rFonts w:hint="eastAsia"/>
          <w:sz w:val="20"/>
        </w:rPr>
        <w:t>case</w:t>
      </w:r>
      <w:r>
        <w:rPr>
          <w:sz w:val="20"/>
        </w:rPr>
        <w:t>(s), DL/UL power control</w:t>
      </w:r>
      <w:r>
        <w:rPr>
          <w:rFonts w:hint="eastAsia"/>
          <w:sz w:val="20"/>
        </w:rPr>
        <w:t>/sharing</w:t>
      </w:r>
      <w:r>
        <w:rPr>
          <w:sz w:val="20"/>
        </w:rPr>
        <w:t>,</w:t>
      </w:r>
      <w:r>
        <w:rPr>
          <w:rFonts w:hint="eastAsia"/>
          <w:sz w:val="20"/>
        </w:rPr>
        <w:t xml:space="preserve"> </w:t>
      </w:r>
      <w:r>
        <w:rPr>
          <w:sz w:val="20"/>
        </w:rPr>
        <w:t>and CLI and interference measurements</w:t>
      </w:r>
      <w:r>
        <w:rPr>
          <w:rFonts w:hint="eastAsia"/>
          <w:sz w:val="20"/>
        </w:rPr>
        <w:t xml:space="preserve"> had been discussed. In this contribution, we will continue to </w:t>
      </w:r>
      <w:r>
        <w:rPr>
          <w:sz w:val="20"/>
        </w:rPr>
        <w:t>provide</w:t>
      </w:r>
      <w:r>
        <w:rPr>
          <w:rFonts w:hint="eastAsia"/>
          <w:sz w:val="20"/>
        </w:rPr>
        <w:t xml:space="preserve"> views on these three aspects.</w:t>
      </w:r>
    </w:p>
    <w:tbl>
      <w:tblPr>
        <w:tblStyle w:val="ae"/>
        <w:tblW w:w="0" w:type="auto"/>
        <w:tblLook w:val="04A0" w:firstRow="1" w:lastRow="0" w:firstColumn="1" w:lastColumn="0" w:noHBand="0" w:noVBand="1"/>
      </w:tblPr>
      <w:tblGrid>
        <w:gridCol w:w="9876"/>
      </w:tblGrid>
      <w:tr w:rsidR="0006075B">
        <w:tc>
          <w:tcPr>
            <w:tcW w:w="9876" w:type="dxa"/>
          </w:tcPr>
          <w:p w:rsidR="0006075B" w:rsidRDefault="002F3A23">
            <w:pPr>
              <w:spacing w:before="120" w:after="120"/>
              <w:rPr>
                <w:sz w:val="20"/>
                <w:highlight w:val="green"/>
              </w:rPr>
            </w:pPr>
            <w:r>
              <w:rPr>
                <w:sz w:val="20"/>
              </w:rPr>
              <w:t xml:space="preserve"> </w:t>
            </w:r>
            <w:r>
              <w:rPr>
                <w:rFonts w:hint="eastAsia"/>
                <w:sz w:val="20"/>
              </w:rPr>
              <w:t xml:space="preserve">Agreements of </w:t>
            </w:r>
            <w:r>
              <w:rPr>
                <w:sz w:val="20"/>
              </w:rPr>
              <w:t>RAN1 #</w:t>
            </w:r>
            <w:r>
              <w:rPr>
                <w:rFonts w:hint="eastAsia"/>
                <w:sz w:val="20"/>
              </w:rPr>
              <w:t>102-e[1]</w:t>
            </w:r>
          </w:p>
          <w:p w:rsidR="0006075B" w:rsidRDefault="002F3A23">
            <w:pPr>
              <w:spacing w:before="120" w:after="120"/>
              <w:rPr>
                <w:b/>
                <w:bCs/>
                <w:sz w:val="20"/>
                <w:lang w:eastAsia="en-US"/>
              </w:rPr>
            </w:pPr>
            <w:r>
              <w:rPr>
                <w:sz w:val="20"/>
                <w:highlight w:val="green"/>
              </w:rPr>
              <w:t>Agreement</w:t>
            </w:r>
            <w:r>
              <w:rPr>
                <w:sz w:val="20"/>
              </w:rPr>
              <w:t>:</w:t>
            </w:r>
          </w:p>
          <w:p w:rsidR="0006075B" w:rsidRDefault="002F3A23">
            <w:pPr>
              <w:numPr>
                <w:ilvl w:val="0"/>
                <w:numId w:val="8"/>
              </w:numPr>
              <w:spacing w:before="120" w:after="120"/>
              <w:rPr>
                <w:sz w:val="20"/>
              </w:rPr>
            </w:pPr>
            <w:r>
              <w:rPr>
                <w:sz w:val="20"/>
              </w:rPr>
              <w:t>Case 7 timing is supported in Rel-17 for IAB-nodes operating in multiplexing scenario Case 2 (simultaneous MT-Rx/DU-Rx)</w:t>
            </w:r>
          </w:p>
          <w:p w:rsidR="0006075B" w:rsidRDefault="002F3A23">
            <w:pPr>
              <w:numPr>
                <w:ilvl w:val="0"/>
                <w:numId w:val="9"/>
              </w:numPr>
              <w:spacing w:before="120" w:after="120"/>
              <w:rPr>
                <w:sz w:val="20"/>
              </w:rPr>
            </w:pPr>
            <w:r>
              <w:rPr>
                <w:sz w:val="20"/>
              </w:rPr>
              <w:t>Case 6 timing is supported in Rel-17 for IAB-nodes operating in multiplexing scenario Case 1 (simultaneous MT-Tx/DU-Tx)</w:t>
            </w:r>
          </w:p>
          <w:p w:rsidR="0006075B" w:rsidRDefault="002F3A23">
            <w:pPr>
              <w:numPr>
                <w:ilvl w:val="1"/>
                <w:numId w:val="9"/>
              </w:numPr>
              <w:spacing w:before="120" w:after="120"/>
              <w:rPr>
                <w:sz w:val="20"/>
              </w:rPr>
            </w:pPr>
            <w:r>
              <w:rPr>
                <w:sz w:val="20"/>
              </w:rPr>
              <w:t>RAN1 should strive to minimize specification impact due to this feature</w:t>
            </w:r>
          </w:p>
          <w:p w:rsidR="0006075B" w:rsidRDefault="002F3A23">
            <w:pPr>
              <w:numPr>
                <w:ilvl w:val="0"/>
                <w:numId w:val="9"/>
              </w:numPr>
              <w:spacing w:before="120" w:after="120"/>
              <w:rPr>
                <w:sz w:val="20"/>
              </w:rPr>
            </w:pPr>
            <w:r>
              <w:rPr>
                <w:sz w:val="20"/>
              </w:rPr>
              <w:t>FFS: Whether Case 7 timing is supported in Rel-17 for IAB-nodes operating in multiplexing scenario Case 4 (simultaneous MT-Tx/DU-Rx)</w:t>
            </w:r>
          </w:p>
          <w:p w:rsidR="0006075B" w:rsidRDefault="002F3A23">
            <w:pPr>
              <w:spacing w:before="120" w:after="120"/>
              <w:rPr>
                <w:rFonts w:eastAsia="Calibri" w:cs="Times"/>
                <w:sz w:val="20"/>
                <w:highlight w:val="green"/>
              </w:rPr>
            </w:pPr>
            <w:r>
              <w:rPr>
                <w:rFonts w:eastAsia="Calibri" w:cs="Times"/>
                <w:sz w:val="20"/>
                <w:highlight w:val="green"/>
              </w:rPr>
              <w:t>Agreement</w:t>
            </w:r>
          </w:p>
          <w:p w:rsidR="0006075B" w:rsidRDefault="002F3A23">
            <w:pPr>
              <w:pStyle w:val="af2"/>
              <w:numPr>
                <w:ilvl w:val="0"/>
                <w:numId w:val="10"/>
              </w:numPr>
              <w:spacing w:after="120"/>
              <w:rPr>
                <w:rFonts w:eastAsia="Calibri" w:cs="Times"/>
                <w:sz w:val="20"/>
                <w:szCs w:val="20"/>
              </w:rPr>
            </w:pPr>
            <w:r>
              <w:rPr>
                <w:rFonts w:eastAsia="Calibri" w:cs="Times"/>
                <w:sz w:val="20"/>
                <w:szCs w:val="20"/>
              </w:rPr>
              <w:t>Based on the WID, the following multiplexing cases are in scope for potential support in Rel-17:</w:t>
            </w:r>
          </w:p>
          <w:p w:rsidR="0006075B" w:rsidRDefault="002F3A23">
            <w:pPr>
              <w:pStyle w:val="af2"/>
              <w:numPr>
                <w:ilvl w:val="1"/>
                <w:numId w:val="10"/>
              </w:numPr>
              <w:spacing w:after="120"/>
              <w:rPr>
                <w:rFonts w:eastAsia="Batang" w:cs="Times"/>
                <w:color w:val="000000"/>
                <w:sz w:val="20"/>
                <w:szCs w:val="20"/>
              </w:rPr>
            </w:pPr>
            <w:r>
              <w:rPr>
                <w:rFonts w:cs="Times"/>
                <w:color w:val="000000"/>
                <w:sz w:val="20"/>
                <w:szCs w:val="20"/>
              </w:rPr>
              <w:t xml:space="preserve">Multiplexing Case A: Simultaneous MT-Tx/DU-Tx </w:t>
            </w:r>
          </w:p>
          <w:p w:rsidR="0006075B" w:rsidRDefault="002F3A23">
            <w:pPr>
              <w:pStyle w:val="af2"/>
              <w:numPr>
                <w:ilvl w:val="1"/>
                <w:numId w:val="10"/>
              </w:numPr>
              <w:spacing w:after="120"/>
              <w:rPr>
                <w:rFonts w:cs="Times"/>
                <w:color w:val="000000"/>
                <w:sz w:val="20"/>
                <w:szCs w:val="20"/>
              </w:rPr>
            </w:pPr>
            <w:r>
              <w:rPr>
                <w:rFonts w:cs="Times"/>
                <w:color w:val="000000"/>
                <w:sz w:val="20"/>
                <w:szCs w:val="20"/>
              </w:rPr>
              <w:t xml:space="preserve">Multiplexing Case B: Simultaneous MT-Rx/DU-Rx </w:t>
            </w:r>
          </w:p>
          <w:p w:rsidR="0006075B" w:rsidRDefault="002F3A23">
            <w:pPr>
              <w:pStyle w:val="af2"/>
              <w:numPr>
                <w:ilvl w:val="1"/>
                <w:numId w:val="10"/>
              </w:numPr>
              <w:spacing w:after="120"/>
              <w:rPr>
                <w:rFonts w:cs="Times"/>
                <w:color w:val="000000"/>
                <w:sz w:val="20"/>
                <w:szCs w:val="20"/>
              </w:rPr>
            </w:pPr>
            <w:r>
              <w:rPr>
                <w:rFonts w:cs="Times"/>
                <w:color w:val="000000"/>
                <w:sz w:val="20"/>
                <w:szCs w:val="20"/>
              </w:rPr>
              <w:t xml:space="preserve">Multiplexing Case C: Simultaneous MT-Rx/DU-Tx </w:t>
            </w:r>
          </w:p>
          <w:p w:rsidR="0006075B" w:rsidRDefault="002F3A23">
            <w:pPr>
              <w:pStyle w:val="af2"/>
              <w:numPr>
                <w:ilvl w:val="1"/>
                <w:numId w:val="10"/>
              </w:numPr>
              <w:spacing w:after="120"/>
              <w:rPr>
                <w:rFonts w:cs="Times"/>
                <w:color w:val="000000"/>
                <w:sz w:val="20"/>
                <w:szCs w:val="20"/>
              </w:rPr>
            </w:pPr>
            <w:r>
              <w:rPr>
                <w:rFonts w:cs="Times"/>
                <w:color w:val="000000"/>
                <w:sz w:val="20"/>
                <w:szCs w:val="20"/>
              </w:rPr>
              <w:t xml:space="preserve">Multiplexing Case D: Simultaneous MT-Tx/DU-Rx </w:t>
            </w:r>
          </w:p>
          <w:p w:rsidR="0006075B" w:rsidRDefault="002F3A23">
            <w:pPr>
              <w:pStyle w:val="af2"/>
              <w:numPr>
                <w:ilvl w:val="0"/>
                <w:numId w:val="10"/>
              </w:numPr>
              <w:spacing w:after="120"/>
              <w:rPr>
                <w:rFonts w:cs="Times"/>
                <w:color w:val="000000"/>
                <w:sz w:val="20"/>
                <w:szCs w:val="20"/>
              </w:rPr>
            </w:pPr>
            <w:r>
              <w:rPr>
                <w:rFonts w:cs="Times"/>
                <w:color w:val="000000"/>
                <w:sz w:val="20"/>
                <w:szCs w:val="20"/>
              </w:rPr>
              <w:t>Further study for for Case A and Case B at least the following scenarios:</w:t>
            </w:r>
          </w:p>
          <w:p w:rsidR="0006075B" w:rsidRDefault="002F3A23">
            <w:pPr>
              <w:pStyle w:val="af2"/>
              <w:numPr>
                <w:ilvl w:val="1"/>
                <w:numId w:val="10"/>
              </w:numPr>
              <w:spacing w:after="120"/>
              <w:rPr>
                <w:rFonts w:cs="Times"/>
                <w:color w:val="000000"/>
                <w:sz w:val="20"/>
                <w:szCs w:val="20"/>
              </w:rPr>
            </w:pPr>
            <w:r>
              <w:rPr>
                <w:rFonts w:cs="Times"/>
                <w:color w:val="000000"/>
                <w:sz w:val="20"/>
                <w:szCs w:val="20"/>
              </w:rPr>
              <w:t>Single or multi-panel IAB nodes operating in unpaired spectrum (FR1 and FR2 bands)</w:t>
            </w:r>
          </w:p>
          <w:p w:rsidR="0006075B" w:rsidRDefault="002F3A23">
            <w:pPr>
              <w:pStyle w:val="af2"/>
              <w:numPr>
                <w:ilvl w:val="0"/>
                <w:numId w:val="10"/>
              </w:numPr>
              <w:spacing w:after="120"/>
              <w:rPr>
                <w:rFonts w:cs="Times"/>
                <w:color w:val="000000"/>
                <w:sz w:val="20"/>
                <w:szCs w:val="20"/>
              </w:rPr>
            </w:pPr>
            <w:r>
              <w:rPr>
                <w:rFonts w:cs="Times"/>
                <w:color w:val="000000"/>
                <w:sz w:val="20"/>
                <w:szCs w:val="20"/>
              </w:rPr>
              <w:t>Further study for Case C and Case D at least for the following scenarios:</w:t>
            </w:r>
          </w:p>
          <w:p w:rsidR="0006075B" w:rsidRDefault="002F3A23">
            <w:pPr>
              <w:pStyle w:val="af2"/>
              <w:numPr>
                <w:ilvl w:val="1"/>
                <w:numId w:val="10"/>
              </w:numPr>
              <w:spacing w:after="120"/>
              <w:rPr>
                <w:rFonts w:eastAsia="Calibri" w:cs="Times"/>
                <w:sz w:val="20"/>
                <w:szCs w:val="20"/>
              </w:rPr>
            </w:pPr>
            <w:r>
              <w:rPr>
                <w:rFonts w:cs="Times"/>
                <w:color w:val="000000"/>
                <w:sz w:val="20"/>
                <w:szCs w:val="20"/>
              </w:rPr>
              <w:t xml:space="preserve">Multi-panel IAB nodes operating in unpaired spectrum (FR1 and FR2 bands) </w:t>
            </w:r>
          </w:p>
          <w:p w:rsidR="0006075B" w:rsidRDefault="002F3A23">
            <w:pPr>
              <w:pStyle w:val="af2"/>
              <w:numPr>
                <w:ilvl w:val="0"/>
                <w:numId w:val="10"/>
              </w:numPr>
              <w:spacing w:after="120"/>
              <w:rPr>
                <w:rFonts w:eastAsia="Calibri" w:cs="Times"/>
                <w:sz w:val="20"/>
                <w:szCs w:val="20"/>
              </w:rPr>
            </w:pPr>
            <w:r>
              <w:rPr>
                <w:rFonts w:eastAsia="Calibri" w:cs="Times"/>
                <w:sz w:val="20"/>
                <w:szCs w:val="20"/>
              </w:rPr>
              <w:t xml:space="preserve">FFS: Required level of specification impact to support the different cases. Any additional specification support in Rel-17 should be </w:t>
            </w:r>
            <w:r>
              <w:rPr>
                <w:rFonts w:cs="Times"/>
                <w:color w:val="000000"/>
                <w:sz w:val="20"/>
                <w:szCs w:val="20"/>
              </w:rPr>
              <w:t xml:space="preserve">conditioned on feasibility from an interference and reliability perspective on a per-link and network basis </w:t>
            </w:r>
          </w:p>
          <w:p w:rsidR="0006075B" w:rsidRDefault="0006075B">
            <w:pPr>
              <w:spacing w:before="120" w:after="120"/>
              <w:rPr>
                <w:sz w:val="20"/>
              </w:rPr>
            </w:pPr>
          </w:p>
        </w:tc>
      </w:tr>
    </w:tbl>
    <w:p w:rsidR="0006075B" w:rsidRDefault="002F3A23">
      <w:pPr>
        <w:pStyle w:val="1"/>
        <w:keepNext w:val="0"/>
        <w:keepLines w:val="0"/>
        <w:widowControl w:val="0"/>
        <w:pBdr>
          <w:top w:val="none" w:sz="0" w:space="0" w:color="auto"/>
        </w:pBdr>
        <w:snapToGrid w:val="0"/>
        <w:spacing w:before="120" w:after="120" w:line="240" w:lineRule="auto"/>
        <w:ind w:left="431" w:hanging="431"/>
        <w:jc w:val="left"/>
      </w:pPr>
      <w:r>
        <w:rPr>
          <w:rFonts w:eastAsia="黑体"/>
          <w:szCs w:val="30"/>
        </w:rPr>
        <w:t>S</w:t>
      </w:r>
      <w:r>
        <w:rPr>
          <w:rFonts w:eastAsia="黑体" w:hint="eastAsia"/>
          <w:szCs w:val="30"/>
        </w:rPr>
        <w:t>ome</w:t>
      </w:r>
      <w:r>
        <w:rPr>
          <w:rFonts w:eastAsia="黑体"/>
          <w:szCs w:val="30"/>
        </w:rPr>
        <w:t xml:space="preserve"> </w:t>
      </w:r>
      <w:r>
        <w:rPr>
          <w:rFonts w:eastAsia="黑体" w:hint="eastAsia"/>
          <w:szCs w:val="30"/>
        </w:rPr>
        <w:t>enhancements for simultaneous operation</w:t>
      </w:r>
    </w:p>
    <w:p w:rsidR="0006075B" w:rsidRDefault="002F3A23">
      <w:pPr>
        <w:pStyle w:val="2"/>
        <w:spacing w:before="120" w:after="120"/>
        <w:ind w:right="210"/>
        <w:rPr>
          <w:rFonts w:ascii="Arial" w:hAnsi="Arial" w:cs="Arial"/>
        </w:rPr>
      </w:pPr>
      <w:r>
        <w:rPr>
          <w:rFonts w:ascii="Arial" w:hAnsi="Arial" w:cs="Arial" w:hint="eastAsia"/>
        </w:rPr>
        <w:t>2.1 T</w:t>
      </w:r>
      <w:r>
        <w:rPr>
          <w:rFonts w:ascii="Arial" w:hAnsi="Arial" w:cs="Arial"/>
        </w:rPr>
        <w:t>iming cases for simultaneous operation</w:t>
      </w:r>
    </w:p>
    <w:p w:rsidR="0006075B" w:rsidRDefault="002F3A23">
      <w:pPr>
        <w:spacing w:before="120" w:after="120"/>
        <w:rPr>
          <w:b/>
          <w:i/>
          <w:sz w:val="20"/>
          <w:u w:val="single"/>
        </w:rPr>
      </w:pPr>
      <w:r>
        <w:rPr>
          <w:b/>
          <w:i/>
          <w:sz w:val="20"/>
          <w:u w:val="single"/>
        </w:rPr>
        <w:t>Case-6 timing for MT-Tx/DU Tx</w:t>
      </w:r>
    </w:p>
    <w:p w:rsidR="0006075B" w:rsidRDefault="002F3A23">
      <w:pPr>
        <w:spacing w:before="120" w:after="120"/>
        <w:rPr>
          <w:iCs/>
          <w:sz w:val="20"/>
        </w:rPr>
      </w:pPr>
      <w:r>
        <w:rPr>
          <w:sz w:val="20"/>
        </w:rPr>
        <w:lastRenderedPageBreak/>
        <w:t>Due to the fact that the alignment between IAB node’s UL-Tx timing and its DL-Tx timing is required, case-6 timing will</w:t>
      </w:r>
      <w:r>
        <w:rPr>
          <w:iCs/>
          <w:sz w:val="20"/>
        </w:rPr>
        <w:t xml:space="preserve"> break legacy TA </w:t>
      </w:r>
      <w:r>
        <w:rPr>
          <w:iCs/>
          <w:kern w:val="0"/>
          <w:sz w:val="20"/>
        </w:rPr>
        <w:t>mechanism</w:t>
      </w:r>
      <w:r>
        <w:rPr>
          <w:iCs/>
          <w:sz w:val="20"/>
        </w:rPr>
        <w:t xml:space="preserve">. This is because UL-Rx timing at the parent node could be different between IAB nodes and access UEs covered by the parent node. In this situation, </w:t>
      </w:r>
      <w:r>
        <w:rPr>
          <w:rFonts w:hint="eastAsia"/>
          <w:iCs/>
          <w:sz w:val="20"/>
        </w:rPr>
        <w:t xml:space="preserve">the </w:t>
      </w:r>
      <w:r>
        <w:rPr>
          <w:iCs/>
          <w:sz w:val="20"/>
        </w:rPr>
        <w:t xml:space="preserve">interference between IAB nodes and access UEs covered by the parent node will be </w:t>
      </w:r>
      <w:r>
        <w:rPr>
          <w:rFonts w:hint="eastAsia"/>
          <w:iCs/>
          <w:sz w:val="20"/>
        </w:rPr>
        <w:t xml:space="preserve">caused </w:t>
      </w:r>
      <w:r>
        <w:rPr>
          <w:iCs/>
          <w:sz w:val="20"/>
        </w:rPr>
        <w:t>due to UL receiving</w:t>
      </w:r>
      <w:r>
        <w:rPr>
          <w:rFonts w:hint="eastAsia"/>
          <w:iCs/>
          <w:sz w:val="20"/>
        </w:rPr>
        <w:t xml:space="preserve"> timing misalignment</w:t>
      </w:r>
      <w:r>
        <w:rPr>
          <w:iCs/>
          <w:sz w:val="20"/>
        </w:rPr>
        <w:t xml:space="preserve"> at the parent node side. To overcome UL</w:t>
      </w:r>
      <w:r>
        <w:rPr>
          <w:rFonts w:hint="eastAsia"/>
          <w:iCs/>
          <w:sz w:val="20"/>
        </w:rPr>
        <w:t>-Rx timing</w:t>
      </w:r>
      <w:r>
        <w:rPr>
          <w:iCs/>
          <w:sz w:val="20"/>
        </w:rPr>
        <w:t xml:space="preserve"> </w:t>
      </w:r>
      <w:r w:rsidR="006522AC">
        <w:rPr>
          <w:iCs/>
          <w:sz w:val="20"/>
        </w:rPr>
        <w:t>a</w:t>
      </w:r>
      <w:r>
        <w:rPr>
          <w:iCs/>
          <w:sz w:val="20"/>
        </w:rPr>
        <w:t xml:space="preserve">synchronization, IAB nodes and access UEs covered by the parent node are proposed to be separated by TDM. However, the issue of </w:t>
      </w:r>
      <w:r>
        <w:rPr>
          <w:rFonts w:hint="eastAsia"/>
          <w:iCs/>
          <w:sz w:val="20"/>
        </w:rPr>
        <w:t>UL-Rx timing asynchronization</w:t>
      </w:r>
      <w:r>
        <w:rPr>
          <w:iCs/>
          <w:sz w:val="20"/>
        </w:rPr>
        <w:t xml:space="preserve"> between IAB nodes</w:t>
      </w:r>
      <w:r>
        <w:rPr>
          <w:rFonts w:hint="eastAsia"/>
          <w:iCs/>
          <w:sz w:val="20"/>
        </w:rPr>
        <w:t xml:space="preserve"> under the same parent node</w:t>
      </w:r>
      <w:r>
        <w:rPr>
          <w:iCs/>
          <w:sz w:val="20"/>
        </w:rPr>
        <w:t xml:space="preserve"> due to different transmission propagation still </w:t>
      </w:r>
      <w:r>
        <w:rPr>
          <w:rFonts w:hint="eastAsia"/>
          <w:iCs/>
          <w:sz w:val="20"/>
        </w:rPr>
        <w:t>exists</w:t>
      </w:r>
      <w:r>
        <w:rPr>
          <w:iCs/>
          <w:sz w:val="20"/>
        </w:rPr>
        <w:t xml:space="preserve">, which means that TDMed slots may also be needed between </w:t>
      </w:r>
      <w:r>
        <w:rPr>
          <w:rFonts w:hint="eastAsia"/>
          <w:iCs/>
          <w:sz w:val="20"/>
        </w:rPr>
        <w:t xml:space="preserve">those </w:t>
      </w:r>
      <w:r>
        <w:rPr>
          <w:iCs/>
          <w:sz w:val="20"/>
        </w:rPr>
        <w:t>IAB nodes. For UEs,</w:t>
      </w:r>
      <w:r>
        <w:rPr>
          <w:rFonts w:hint="eastAsia"/>
          <w:iCs/>
          <w:sz w:val="20"/>
        </w:rPr>
        <w:t xml:space="preserve"> the scheme with</w:t>
      </w:r>
      <w:r>
        <w:rPr>
          <w:iCs/>
          <w:sz w:val="20"/>
        </w:rPr>
        <w:t xml:space="preserve"> TDMed slots </w:t>
      </w:r>
      <w:r>
        <w:rPr>
          <w:rFonts w:hint="eastAsia"/>
          <w:iCs/>
          <w:sz w:val="20"/>
        </w:rPr>
        <w:t xml:space="preserve">can </w:t>
      </w:r>
      <w:r>
        <w:rPr>
          <w:iCs/>
          <w:sz w:val="20"/>
        </w:rPr>
        <w:t>be seen as scheduling</w:t>
      </w:r>
      <w:r>
        <w:rPr>
          <w:rFonts w:hint="eastAsia"/>
          <w:iCs/>
          <w:sz w:val="20"/>
        </w:rPr>
        <w:t xml:space="preserve"> </w:t>
      </w:r>
      <w:r>
        <w:rPr>
          <w:iCs/>
          <w:sz w:val="20"/>
        </w:rPr>
        <w:t xml:space="preserve">issue. But for IAB nodes, it is not enough just via scheduling, and </w:t>
      </w:r>
      <w:r>
        <w:rPr>
          <w:rFonts w:hint="eastAsia"/>
          <w:iCs/>
          <w:sz w:val="20"/>
        </w:rPr>
        <w:t xml:space="preserve">the </w:t>
      </w:r>
      <w:r>
        <w:rPr>
          <w:iCs/>
          <w:sz w:val="20"/>
        </w:rPr>
        <w:t xml:space="preserve">exact </w:t>
      </w:r>
      <w:r>
        <w:rPr>
          <w:rFonts w:hint="eastAsia"/>
          <w:iCs/>
          <w:sz w:val="20"/>
        </w:rPr>
        <w:t xml:space="preserve">timing of each IAB node </w:t>
      </w:r>
      <w:r>
        <w:rPr>
          <w:iCs/>
          <w:sz w:val="20"/>
        </w:rPr>
        <w:t>need</w:t>
      </w:r>
      <w:r>
        <w:rPr>
          <w:rFonts w:hint="eastAsia"/>
          <w:iCs/>
          <w:sz w:val="20"/>
        </w:rPr>
        <w:t>s</w:t>
      </w:r>
      <w:r>
        <w:rPr>
          <w:iCs/>
          <w:sz w:val="20"/>
        </w:rPr>
        <w:t xml:space="preserve"> to be identified to perform simultaneous </w:t>
      </w:r>
      <w:r>
        <w:rPr>
          <w:sz w:val="20"/>
        </w:rPr>
        <w:t>MT-Tx/DU-Tx</w:t>
      </w:r>
      <w:r>
        <w:rPr>
          <w:iCs/>
          <w:sz w:val="20"/>
        </w:rPr>
        <w:t>.</w:t>
      </w:r>
      <w:r>
        <w:rPr>
          <w:rFonts w:hint="eastAsia"/>
          <w:iCs/>
          <w:sz w:val="20"/>
        </w:rPr>
        <w:t xml:space="preserve"> On the other hand, if the IAB nodes only work with case-6 timing, the alignment mechanism of DL-Tx timing in case-6 needs to be reconsidered. However, if IAB node works with case-1 timing and case-6 timing, it is natural to achieve the DL-Tx timing alignment by the scheme for case-1 timing defined in Rel-16.</w:t>
      </w:r>
    </w:p>
    <w:p w:rsidR="0006075B" w:rsidRDefault="002F3A23">
      <w:pPr>
        <w:spacing w:before="120" w:after="120"/>
        <w:rPr>
          <w:b/>
          <w:bCs/>
          <w:i/>
          <w:iCs/>
          <w:sz w:val="20"/>
        </w:rPr>
      </w:pPr>
      <w:r>
        <w:rPr>
          <w:b/>
          <w:bCs/>
          <w:i/>
          <w:iCs/>
          <w:sz w:val="20"/>
        </w:rPr>
        <w:t xml:space="preserve">Observation 1: </w:t>
      </w:r>
      <w:r>
        <w:rPr>
          <w:rFonts w:hint="eastAsia"/>
          <w:b/>
          <w:bCs/>
          <w:i/>
          <w:iCs/>
          <w:sz w:val="20"/>
        </w:rPr>
        <w:t xml:space="preserve">In multiplexing </w:t>
      </w:r>
      <w:r>
        <w:rPr>
          <w:b/>
          <w:bCs/>
          <w:i/>
          <w:iCs/>
          <w:sz w:val="20"/>
        </w:rPr>
        <w:t xml:space="preserve">Case </w:t>
      </w:r>
      <w:r>
        <w:rPr>
          <w:rFonts w:hint="eastAsia"/>
          <w:b/>
          <w:bCs/>
          <w:i/>
          <w:iCs/>
          <w:sz w:val="20"/>
        </w:rPr>
        <w:t xml:space="preserve">A, TDM-based resource allocation among </w:t>
      </w:r>
      <w:r>
        <w:rPr>
          <w:b/>
          <w:bCs/>
          <w:i/>
          <w:iCs/>
          <w:sz w:val="20"/>
        </w:rPr>
        <w:t>access UEs</w:t>
      </w:r>
      <w:r>
        <w:rPr>
          <w:rFonts w:hint="eastAsia"/>
          <w:b/>
          <w:bCs/>
          <w:i/>
          <w:iCs/>
          <w:sz w:val="20"/>
        </w:rPr>
        <w:t xml:space="preserve"> and different child IAB nodes</w:t>
      </w:r>
      <w:r>
        <w:rPr>
          <w:b/>
          <w:bCs/>
          <w:i/>
          <w:iCs/>
          <w:sz w:val="20"/>
        </w:rPr>
        <w:t xml:space="preserve"> </w:t>
      </w:r>
      <w:r>
        <w:rPr>
          <w:rFonts w:hint="eastAsia"/>
          <w:b/>
          <w:bCs/>
          <w:i/>
          <w:iCs/>
          <w:sz w:val="20"/>
        </w:rPr>
        <w:t>should be applied to resolve</w:t>
      </w:r>
      <w:r>
        <w:rPr>
          <w:b/>
          <w:bCs/>
          <w:i/>
          <w:iCs/>
          <w:sz w:val="20"/>
        </w:rPr>
        <w:t xml:space="preserve"> the </w:t>
      </w:r>
      <w:r>
        <w:rPr>
          <w:rFonts w:hint="eastAsia"/>
          <w:b/>
          <w:bCs/>
          <w:i/>
          <w:iCs/>
          <w:sz w:val="20"/>
        </w:rPr>
        <w:t>UL-Rx timing asynchronization issue</w:t>
      </w:r>
      <w:r>
        <w:rPr>
          <w:b/>
          <w:bCs/>
          <w:i/>
          <w:iCs/>
          <w:sz w:val="20"/>
        </w:rPr>
        <w:t xml:space="preserve"> </w:t>
      </w:r>
      <w:r>
        <w:rPr>
          <w:rFonts w:hint="eastAsia"/>
          <w:b/>
          <w:bCs/>
          <w:i/>
          <w:iCs/>
          <w:sz w:val="20"/>
        </w:rPr>
        <w:t>caused by case-6 timing alignment</w:t>
      </w:r>
      <w:r>
        <w:rPr>
          <w:b/>
          <w:bCs/>
          <w:i/>
          <w:iCs/>
          <w:sz w:val="20"/>
        </w:rPr>
        <w:t>.</w:t>
      </w:r>
    </w:p>
    <w:p w:rsidR="0006075B" w:rsidRDefault="002F3A23">
      <w:pPr>
        <w:spacing w:before="120" w:after="120"/>
        <w:rPr>
          <w:b/>
          <w:bCs/>
          <w:i/>
          <w:iCs/>
          <w:sz w:val="20"/>
        </w:rPr>
      </w:pPr>
      <w:r>
        <w:rPr>
          <w:rFonts w:hint="eastAsia"/>
          <w:sz w:val="20"/>
        </w:rPr>
        <w:t xml:space="preserve">From the perspective of IAB-MT, two types of UL-Tx timing are maintained to support TDMed case-1 timing + case-6 timing, one is the normal UL-Tx timing </w:t>
      </w:r>
      <w:r>
        <w:rPr>
          <w:rFonts w:hint="eastAsia"/>
          <w:iCs/>
          <w:sz w:val="20"/>
        </w:rPr>
        <w:t xml:space="preserve">derived </w:t>
      </w:r>
      <w:r>
        <w:rPr>
          <w:iCs/>
          <w:sz w:val="20"/>
        </w:rPr>
        <w:t>from Rel-15 TA mechanism</w:t>
      </w:r>
      <w:r>
        <w:rPr>
          <w:rFonts w:hint="eastAsia"/>
          <w:iCs/>
          <w:sz w:val="20"/>
        </w:rPr>
        <w:t xml:space="preserve">, another is the same as its DU-Tx timing derived </w:t>
      </w:r>
      <w:r>
        <w:rPr>
          <w:iCs/>
          <w:sz w:val="20"/>
        </w:rPr>
        <w:t>from Rel-1</w:t>
      </w:r>
      <w:r>
        <w:rPr>
          <w:rFonts w:hint="eastAsia"/>
          <w:iCs/>
          <w:sz w:val="20"/>
        </w:rPr>
        <w:t>6</w:t>
      </w:r>
      <w:r>
        <w:rPr>
          <w:iCs/>
          <w:sz w:val="20"/>
        </w:rPr>
        <w:t xml:space="preserve"> </w:t>
      </w:r>
      <w:r>
        <w:rPr>
          <w:rFonts w:hint="eastAsia"/>
          <w:iCs/>
          <w:sz w:val="20"/>
        </w:rPr>
        <w:t>case-1 timing.</w:t>
      </w:r>
      <w:r>
        <w:rPr>
          <w:rFonts w:hint="eastAsia"/>
          <w:sz w:val="20"/>
        </w:rPr>
        <w:t xml:space="preserve"> Base on above discussion, we have the following proposal:</w:t>
      </w:r>
    </w:p>
    <w:p w:rsidR="0006075B" w:rsidRDefault="002F3A23">
      <w:pPr>
        <w:spacing w:before="120" w:after="120"/>
        <w:rPr>
          <w:b/>
          <w:bCs/>
          <w:i/>
          <w:iCs/>
          <w:sz w:val="20"/>
        </w:rPr>
      </w:pPr>
      <w:r>
        <w:rPr>
          <w:b/>
          <w:bCs/>
          <w:i/>
          <w:iCs/>
          <w:sz w:val="20"/>
        </w:rPr>
        <w:t xml:space="preserve">Proposal 1: </w:t>
      </w:r>
      <w:r>
        <w:rPr>
          <w:rFonts w:hint="eastAsia"/>
          <w:b/>
          <w:bCs/>
          <w:i/>
          <w:iCs/>
          <w:sz w:val="20"/>
        </w:rPr>
        <w:t xml:space="preserve">Parent node can indicate which timing between case-1 timing and case-6 timing is used for UL transmission at a particular slot to its child node. </w:t>
      </w:r>
    </w:p>
    <w:p w:rsidR="0006075B" w:rsidRDefault="002F3A23">
      <w:pPr>
        <w:spacing w:before="120" w:after="120"/>
        <w:rPr>
          <w:sz w:val="20"/>
        </w:rPr>
      </w:pPr>
      <w:r>
        <w:rPr>
          <w:rFonts w:hint="eastAsia"/>
          <w:sz w:val="20"/>
        </w:rPr>
        <w:t>If only case-6 timing is applied, in addition</w:t>
      </w:r>
      <w:r>
        <w:rPr>
          <w:sz w:val="20"/>
        </w:rPr>
        <w:t xml:space="preserve">, </w:t>
      </w:r>
      <w:r>
        <w:rPr>
          <w:rFonts w:hint="eastAsia"/>
          <w:sz w:val="20"/>
        </w:rPr>
        <w:t>it</w:t>
      </w:r>
      <w:r>
        <w:rPr>
          <w:sz w:val="20"/>
        </w:rPr>
        <w:t xml:space="preserve"> will also seriously affect</w:t>
      </w:r>
      <w:r>
        <w:rPr>
          <w:rFonts w:hint="eastAsia"/>
          <w:sz w:val="20"/>
        </w:rPr>
        <w:t>s</w:t>
      </w:r>
      <w:r>
        <w:rPr>
          <w:sz w:val="20"/>
        </w:rPr>
        <w:t xml:space="preserve"> RAN4’s specification work. Such as, the parent node needs to have </w:t>
      </w:r>
      <w:r>
        <w:rPr>
          <w:sz w:val="20"/>
          <w:lang w:eastAsia="ko-KR"/>
        </w:rPr>
        <w:t xml:space="preserve">maintenance of </w:t>
      </w:r>
      <w:r>
        <w:rPr>
          <w:sz w:val="20"/>
        </w:rPr>
        <w:t xml:space="preserve">multiple </w:t>
      </w:r>
      <w:r>
        <w:rPr>
          <w:sz w:val="20"/>
          <w:lang w:eastAsia="ko-KR"/>
        </w:rPr>
        <w:t xml:space="preserve">separate </w:t>
      </w:r>
      <w:r>
        <w:rPr>
          <w:sz w:val="20"/>
        </w:rPr>
        <w:t>UL</w:t>
      </w:r>
      <w:r>
        <w:rPr>
          <w:rFonts w:hint="eastAsia"/>
          <w:sz w:val="20"/>
        </w:rPr>
        <w:t>-</w:t>
      </w:r>
      <w:r>
        <w:rPr>
          <w:sz w:val="20"/>
          <w:lang w:eastAsia="ko-KR"/>
        </w:rPr>
        <w:t xml:space="preserve">Rx timings from different </w:t>
      </w:r>
      <w:r>
        <w:rPr>
          <w:sz w:val="20"/>
        </w:rPr>
        <w:t xml:space="preserve">IAB </w:t>
      </w:r>
      <w:r>
        <w:rPr>
          <w:sz w:val="20"/>
          <w:lang w:eastAsia="ko-KR"/>
        </w:rPr>
        <w:t>nodes</w:t>
      </w:r>
      <w:r>
        <w:rPr>
          <w:sz w:val="20"/>
        </w:rPr>
        <w:t xml:space="preserve"> and access UEs. Moreover, </w:t>
      </w:r>
      <w:r>
        <w:rPr>
          <w:rFonts w:hint="eastAsia"/>
          <w:sz w:val="20"/>
        </w:rPr>
        <w:t>similar as the definition of</w:t>
      </w:r>
      <w:r>
        <w:rPr>
          <w:sz w:val="20"/>
        </w:rPr>
        <w:t xml:space="preserve"> UE’s UL transmi</w:t>
      </w:r>
      <w:r>
        <w:rPr>
          <w:rFonts w:hint="eastAsia"/>
          <w:sz w:val="20"/>
        </w:rPr>
        <w:t>tting</w:t>
      </w:r>
      <w:r>
        <w:rPr>
          <w:sz w:val="20"/>
        </w:rPr>
        <w:t xml:space="preserve"> timing, UL transmission timing error, autonomous time adjustment and t</w:t>
      </w:r>
      <w:r>
        <w:rPr>
          <w:sz w:val="20"/>
          <w:lang w:eastAsia="ja-JP"/>
        </w:rPr>
        <w:t xml:space="preserve">iming </w:t>
      </w:r>
      <w:r>
        <w:rPr>
          <w:sz w:val="20"/>
        </w:rPr>
        <w:t>a</w:t>
      </w:r>
      <w:r>
        <w:rPr>
          <w:sz w:val="20"/>
          <w:lang w:eastAsia="ja-JP"/>
        </w:rPr>
        <w:t>dvance adjustment accuracy</w:t>
      </w:r>
      <w:r>
        <w:rPr>
          <w:rFonts w:hint="eastAsia"/>
          <w:sz w:val="20"/>
        </w:rPr>
        <w:t xml:space="preserve"> for IAB node should be reconsidered.</w:t>
      </w:r>
    </w:p>
    <w:p w:rsidR="0006075B" w:rsidRDefault="002F3A23">
      <w:pPr>
        <w:spacing w:before="120" w:after="120"/>
        <w:rPr>
          <w:b/>
          <w:bCs/>
          <w:i/>
          <w:iCs/>
          <w:sz w:val="20"/>
        </w:rPr>
      </w:pPr>
      <w:r>
        <w:rPr>
          <w:b/>
          <w:bCs/>
          <w:i/>
          <w:iCs/>
          <w:sz w:val="20"/>
        </w:rPr>
        <w:t xml:space="preserve">Observation 2: </w:t>
      </w:r>
      <w:r>
        <w:rPr>
          <w:rFonts w:hint="eastAsia"/>
          <w:b/>
          <w:bCs/>
          <w:i/>
          <w:iCs/>
          <w:sz w:val="20"/>
        </w:rPr>
        <w:t>C</w:t>
      </w:r>
      <w:r>
        <w:rPr>
          <w:b/>
          <w:bCs/>
          <w:i/>
          <w:iCs/>
          <w:sz w:val="20"/>
        </w:rPr>
        <w:t>ase-6 timing will also seriously affect RAN4’s specification work.</w:t>
      </w:r>
    </w:p>
    <w:p w:rsidR="0006075B" w:rsidRDefault="002F3A23">
      <w:pPr>
        <w:spacing w:before="120" w:after="120"/>
        <w:rPr>
          <w:b/>
          <w:bCs/>
          <w:i/>
          <w:iCs/>
          <w:sz w:val="20"/>
        </w:rPr>
      </w:pPr>
      <w:r>
        <w:rPr>
          <w:b/>
          <w:bCs/>
          <w:i/>
          <w:iCs/>
          <w:sz w:val="20"/>
        </w:rPr>
        <w:t xml:space="preserve">Proposal 2: </w:t>
      </w:r>
      <w:r>
        <w:rPr>
          <w:rFonts w:hint="eastAsia"/>
          <w:b/>
          <w:bCs/>
          <w:i/>
          <w:iCs/>
          <w:sz w:val="20"/>
        </w:rPr>
        <w:t xml:space="preserve">UL-Tx timing of </w:t>
      </w:r>
      <w:r>
        <w:rPr>
          <w:b/>
          <w:bCs/>
          <w:i/>
          <w:iCs/>
          <w:sz w:val="20"/>
        </w:rPr>
        <w:t>case-6 timing</w:t>
      </w:r>
      <w:r>
        <w:rPr>
          <w:rFonts w:hint="eastAsia"/>
          <w:b/>
          <w:bCs/>
          <w:i/>
          <w:iCs/>
          <w:sz w:val="20"/>
        </w:rPr>
        <w:t xml:space="preserve"> should be further studied by RAN4.</w:t>
      </w:r>
      <w:r>
        <w:rPr>
          <w:b/>
          <w:bCs/>
          <w:i/>
          <w:iCs/>
          <w:sz w:val="20"/>
        </w:rPr>
        <w:t xml:space="preserve"> </w:t>
      </w:r>
    </w:p>
    <w:p w:rsidR="0006075B" w:rsidRDefault="002F3A23">
      <w:pPr>
        <w:spacing w:before="120" w:after="120"/>
        <w:rPr>
          <w:b/>
          <w:i/>
          <w:sz w:val="20"/>
          <w:u w:val="single"/>
        </w:rPr>
      </w:pPr>
      <w:r>
        <w:rPr>
          <w:b/>
          <w:i/>
          <w:sz w:val="20"/>
          <w:u w:val="single"/>
        </w:rPr>
        <w:t>Case-7 timing for MT-Rx/DU-Rx</w:t>
      </w:r>
    </w:p>
    <w:p w:rsidR="0006075B" w:rsidRDefault="002F3A23">
      <w:pPr>
        <w:spacing w:before="120" w:after="120"/>
        <w:rPr>
          <w:iCs/>
          <w:sz w:val="20"/>
        </w:rPr>
      </w:pPr>
      <w:r>
        <w:rPr>
          <w:sz w:val="20"/>
        </w:rPr>
        <w:t xml:space="preserve">Due to the fact that the alignment between IAB node’s UL-Rx timing and its DL-Rx timing is required, case-7 timing </w:t>
      </w:r>
      <w:r>
        <w:rPr>
          <w:rFonts w:hint="eastAsia"/>
          <w:sz w:val="20"/>
        </w:rPr>
        <w:t xml:space="preserve">may </w:t>
      </w:r>
      <w:r>
        <w:rPr>
          <w:sz w:val="20"/>
        </w:rPr>
        <w:t>result in potential negative TA in access uplink when transmission propagation of backhaul link is larger than 2 times of transmission propagation of access link, which is a key issue of case-7 timing</w:t>
      </w:r>
      <w:r>
        <w:rPr>
          <w:iCs/>
          <w:sz w:val="20"/>
        </w:rPr>
        <w:t xml:space="preserve">. During Rel-15 SI, several typical methods had been </w:t>
      </w:r>
      <w:r>
        <w:rPr>
          <w:rFonts w:hint="eastAsia"/>
          <w:iCs/>
          <w:sz w:val="20"/>
        </w:rPr>
        <w:t>investigated</w:t>
      </w:r>
      <w:r>
        <w:rPr>
          <w:iCs/>
          <w:sz w:val="20"/>
        </w:rPr>
        <w:t xml:space="preserve">, e.g., to introduce absolute negative TA, to signal a relative offset </w:t>
      </w:r>
      <w:r>
        <w:rPr>
          <w:rFonts w:hint="eastAsia"/>
          <w:iCs/>
          <w:sz w:val="20"/>
        </w:rPr>
        <w:t>for</w:t>
      </w:r>
      <w:r>
        <w:rPr>
          <w:iCs/>
          <w:sz w:val="20"/>
        </w:rPr>
        <w:t xml:space="preserve"> the most recent TA, to obtain positive TA with symbol level alignment. </w:t>
      </w:r>
      <w:r>
        <w:rPr>
          <w:rFonts w:hint="eastAsia"/>
          <w:iCs/>
          <w:sz w:val="20"/>
        </w:rPr>
        <w:t xml:space="preserve">Among </w:t>
      </w:r>
      <w:r>
        <w:rPr>
          <w:iCs/>
          <w:sz w:val="20"/>
        </w:rPr>
        <w:t>these method</w:t>
      </w:r>
      <w:r>
        <w:rPr>
          <w:rFonts w:hint="eastAsia"/>
          <w:iCs/>
          <w:sz w:val="20"/>
        </w:rPr>
        <w:t>s</w:t>
      </w:r>
      <w:r>
        <w:rPr>
          <w:iCs/>
          <w:sz w:val="20"/>
        </w:rPr>
        <w:t xml:space="preserve">, </w:t>
      </w:r>
      <w:r>
        <w:rPr>
          <w:rFonts w:hint="eastAsia"/>
          <w:iCs/>
          <w:sz w:val="20"/>
        </w:rPr>
        <w:t>in case of</w:t>
      </w:r>
      <w:r>
        <w:rPr>
          <w:iCs/>
          <w:sz w:val="20"/>
        </w:rPr>
        <w:t xml:space="preserve"> negative TA occurs, </w:t>
      </w:r>
      <w:r>
        <w:rPr>
          <w:rFonts w:hint="eastAsia"/>
          <w:iCs/>
          <w:sz w:val="20"/>
        </w:rPr>
        <w:t>Rel-</w:t>
      </w:r>
      <w:r>
        <w:rPr>
          <w:iCs/>
          <w:sz w:val="20"/>
        </w:rPr>
        <w:t>15/16 UEs compatibility</w:t>
      </w:r>
      <w:r>
        <w:rPr>
          <w:rFonts w:hint="eastAsia"/>
          <w:iCs/>
          <w:sz w:val="20"/>
        </w:rPr>
        <w:t xml:space="preserve"> should be guaranteed</w:t>
      </w:r>
      <w:r>
        <w:rPr>
          <w:iCs/>
          <w:sz w:val="20"/>
        </w:rPr>
        <w:t>.</w:t>
      </w:r>
    </w:p>
    <w:p w:rsidR="0006075B" w:rsidRDefault="002F3A23">
      <w:pPr>
        <w:spacing w:before="120" w:after="120"/>
        <w:rPr>
          <w:iCs/>
          <w:sz w:val="20"/>
        </w:rPr>
      </w:pPr>
      <w:r>
        <w:rPr>
          <w:rFonts w:hint="eastAsia"/>
          <w:iCs/>
          <w:sz w:val="20"/>
        </w:rPr>
        <w:t xml:space="preserve">If the same </w:t>
      </w:r>
      <w:r>
        <w:rPr>
          <w:iCs/>
          <w:sz w:val="20"/>
        </w:rPr>
        <w:t xml:space="preserve">UL-Rx timing at the parent node </w:t>
      </w:r>
      <w:r>
        <w:rPr>
          <w:rFonts w:hint="eastAsia"/>
          <w:iCs/>
          <w:sz w:val="20"/>
        </w:rPr>
        <w:t>is always assumed between</w:t>
      </w:r>
      <w:r>
        <w:rPr>
          <w:iCs/>
          <w:sz w:val="20"/>
        </w:rPr>
        <w:t xml:space="preserve"> IAB</w:t>
      </w:r>
      <w:r>
        <w:rPr>
          <w:rFonts w:hint="eastAsia"/>
          <w:iCs/>
          <w:sz w:val="20"/>
        </w:rPr>
        <w:t>-MT</w:t>
      </w:r>
      <w:r>
        <w:rPr>
          <w:iCs/>
          <w:sz w:val="20"/>
        </w:rPr>
        <w:t>s and access UEs</w:t>
      </w:r>
      <w:r>
        <w:rPr>
          <w:rFonts w:hint="eastAsia"/>
          <w:iCs/>
          <w:sz w:val="20"/>
        </w:rPr>
        <w:t>, t</w:t>
      </w:r>
      <w:r>
        <w:rPr>
          <w:iCs/>
          <w:sz w:val="20"/>
        </w:rPr>
        <w:t xml:space="preserve">he methods with absolute negative TA </w:t>
      </w:r>
      <w:r>
        <w:rPr>
          <w:rFonts w:hint="eastAsia"/>
          <w:iCs/>
          <w:sz w:val="20"/>
        </w:rPr>
        <w:t xml:space="preserve">or </w:t>
      </w:r>
      <w:r>
        <w:rPr>
          <w:iCs/>
          <w:sz w:val="20"/>
        </w:rPr>
        <w:t xml:space="preserve">relative offset </w:t>
      </w:r>
      <w:r>
        <w:rPr>
          <w:rFonts w:hint="eastAsia"/>
          <w:iCs/>
          <w:sz w:val="20"/>
        </w:rPr>
        <w:t>for</w:t>
      </w:r>
      <w:r>
        <w:rPr>
          <w:iCs/>
          <w:sz w:val="20"/>
        </w:rPr>
        <w:t xml:space="preserve"> the most recent TA </w:t>
      </w:r>
      <w:r>
        <w:rPr>
          <w:rFonts w:hint="eastAsia"/>
          <w:iCs/>
          <w:sz w:val="20"/>
        </w:rPr>
        <w:t xml:space="preserve">which can be categorized as slot level alignment method </w:t>
      </w:r>
      <w:r>
        <w:rPr>
          <w:iCs/>
          <w:sz w:val="20"/>
        </w:rPr>
        <w:t>ha</w:t>
      </w:r>
      <w:r>
        <w:rPr>
          <w:rFonts w:hint="eastAsia"/>
          <w:iCs/>
          <w:sz w:val="20"/>
        </w:rPr>
        <w:t>s</w:t>
      </w:r>
      <w:r>
        <w:rPr>
          <w:iCs/>
          <w:sz w:val="20"/>
        </w:rPr>
        <w:t xml:space="preserve"> obvious shortcoming </w:t>
      </w:r>
      <w:r>
        <w:rPr>
          <w:rFonts w:hint="eastAsia"/>
          <w:iCs/>
          <w:sz w:val="20"/>
        </w:rPr>
        <w:t>that it is hard to maintain</w:t>
      </w:r>
      <w:r>
        <w:rPr>
          <w:iCs/>
          <w:sz w:val="20"/>
        </w:rPr>
        <w:t xml:space="preserve"> </w:t>
      </w:r>
      <w:r>
        <w:rPr>
          <w:rFonts w:hint="eastAsia"/>
          <w:iCs/>
          <w:sz w:val="20"/>
        </w:rPr>
        <w:t>Rel-</w:t>
      </w:r>
      <w:r>
        <w:rPr>
          <w:iCs/>
          <w:sz w:val="20"/>
        </w:rPr>
        <w:t xml:space="preserve">15/16 UEs compatibility. </w:t>
      </w:r>
      <w:r>
        <w:rPr>
          <w:rFonts w:hint="eastAsia"/>
          <w:sz w:val="20"/>
        </w:rPr>
        <w:t>T</w:t>
      </w:r>
      <w:r>
        <w:rPr>
          <w:sz w:val="20"/>
        </w:rPr>
        <w:t xml:space="preserve">o </w:t>
      </w:r>
      <w:r>
        <w:rPr>
          <w:rFonts w:hint="eastAsia"/>
          <w:sz w:val="20"/>
        </w:rPr>
        <w:t xml:space="preserve">get </w:t>
      </w:r>
      <w:r>
        <w:rPr>
          <w:sz w:val="20"/>
        </w:rPr>
        <w:t>the desired negative TA value,</w:t>
      </w:r>
      <w:r w:rsidR="006522AC">
        <w:rPr>
          <w:sz w:val="20"/>
        </w:rPr>
        <w:t xml:space="preserve"> </w:t>
      </w:r>
      <w:r>
        <w:rPr>
          <w:rFonts w:hint="eastAsia"/>
          <w:iCs/>
          <w:sz w:val="20"/>
        </w:rPr>
        <w:t>t</w:t>
      </w:r>
      <w:r>
        <w:rPr>
          <w:iCs/>
          <w:sz w:val="20"/>
        </w:rPr>
        <w:t>he former</w:t>
      </w:r>
      <w:r>
        <w:rPr>
          <w:sz w:val="20"/>
        </w:rPr>
        <w:t xml:space="preserve"> requires a long</w:t>
      </w:r>
      <w:r>
        <w:rPr>
          <w:rFonts w:hint="eastAsia"/>
          <w:sz w:val="20"/>
        </w:rPr>
        <w:t xml:space="preserve"> term</w:t>
      </w:r>
      <w:r>
        <w:rPr>
          <w:sz w:val="20"/>
        </w:rPr>
        <w:t xml:space="preserve"> adjustment process with multiple TA commands</w:t>
      </w:r>
      <w:r>
        <w:rPr>
          <w:rFonts w:hint="eastAsia"/>
          <w:sz w:val="20"/>
        </w:rPr>
        <w:t xml:space="preserve"> by legacy TA mechanism</w:t>
      </w:r>
      <w:r>
        <w:rPr>
          <w:sz w:val="20"/>
        </w:rPr>
        <w:t xml:space="preserve"> which</w:t>
      </w:r>
      <w:r>
        <w:rPr>
          <w:rFonts w:hint="eastAsia"/>
          <w:sz w:val="20"/>
        </w:rPr>
        <w:t xml:space="preserve"> would</w:t>
      </w:r>
      <w:r>
        <w:rPr>
          <w:sz w:val="20"/>
        </w:rPr>
        <w:t xml:space="preserve"> result in more overhead of TA commands</w:t>
      </w:r>
      <w:r>
        <w:rPr>
          <w:rFonts w:hint="eastAsia"/>
          <w:sz w:val="20"/>
        </w:rPr>
        <w:t xml:space="preserve"> and </w:t>
      </w:r>
      <w:r w:rsidR="006522AC">
        <w:rPr>
          <w:sz w:val="20"/>
        </w:rPr>
        <w:t xml:space="preserve">a </w:t>
      </w:r>
      <w:r>
        <w:rPr>
          <w:rFonts w:hint="eastAsia"/>
          <w:sz w:val="20"/>
        </w:rPr>
        <w:t>long time delay</w:t>
      </w:r>
      <w:r>
        <w:rPr>
          <w:sz w:val="20"/>
        </w:rPr>
        <w:t>. The latter</w:t>
      </w:r>
      <w:r>
        <w:rPr>
          <w:iCs/>
          <w:sz w:val="20"/>
        </w:rPr>
        <w:t xml:space="preserve"> </w:t>
      </w:r>
      <w:r>
        <w:rPr>
          <w:rFonts w:hint="eastAsia"/>
          <w:iCs/>
          <w:sz w:val="20"/>
        </w:rPr>
        <w:t>is not supported by legacy UE because the signaling of offset cannot be recognized by UEs.</w:t>
      </w:r>
      <w:r>
        <w:rPr>
          <w:iCs/>
          <w:sz w:val="20"/>
        </w:rPr>
        <w:t xml:space="preserve"> Therefore, these two</w:t>
      </w:r>
      <w:r>
        <w:rPr>
          <w:rFonts w:hint="eastAsia"/>
          <w:iCs/>
          <w:sz w:val="20"/>
        </w:rPr>
        <w:t xml:space="preserve"> slot level alignment seems </w:t>
      </w:r>
      <w:r>
        <w:rPr>
          <w:iCs/>
          <w:sz w:val="20"/>
        </w:rPr>
        <w:t>inefficient to resolve negative TA issue at UEs.</w:t>
      </w:r>
      <w:r>
        <w:rPr>
          <w:rFonts w:hint="eastAsia"/>
          <w:iCs/>
          <w:sz w:val="20"/>
        </w:rPr>
        <w:t xml:space="preserve"> If the </w:t>
      </w:r>
      <w:r>
        <w:rPr>
          <w:iCs/>
          <w:sz w:val="20"/>
        </w:rPr>
        <w:t xml:space="preserve">UL-Rx timing at the parent node </w:t>
      </w:r>
      <w:r>
        <w:rPr>
          <w:rFonts w:hint="eastAsia"/>
          <w:iCs/>
          <w:sz w:val="20"/>
        </w:rPr>
        <w:t>could be different between</w:t>
      </w:r>
      <w:r>
        <w:rPr>
          <w:iCs/>
          <w:sz w:val="20"/>
        </w:rPr>
        <w:t xml:space="preserve"> IAB</w:t>
      </w:r>
      <w:r>
        <w:rPr>
          <w:rFonts w:hint="eastAsia"/>
          <w:iCs/>
          <w:sz w:val="20"/>
        </w:rPr>
        <w:t>-MT</w:t>
      </w:r>
      <w:r>
        <w:rPr>
          <w:iCs/>
          <w:sz w:val="20"/>
        </w:rPr>
        <w:t>s and access UEs</w:t>
      </w:r>
      <w:r>
        <w:rPr>
          <w:rFonts w:hint="eastAsia"/>
          <w:iCs/>
          <w:sz w:val="20"/>
        </w:rPr>
        <w:t>, then TDMed mechanism</w:t>
      </w:r>
      <w:r w:rsidR="006522AC">
        <w:rPr>
          <w:iCs/>
          <w:sz w:val="20"/>
        </w:rPr>
        <w:t xml:space="preserve"> </w:t>
      </w:r>
      <w:r>
        <w:rPr>
          <w:rFonts w:hint="eastAsia"/>
          <w:iCs/>
          <w:sz w:val="20"/>
        </w:rPr>
        <w:t>(case-1 timing + case-7 timing) could be further considered.</w:t>
      </w:r>
    </w:p>
    <w:p w:rsidR="0006075B" w:rsidRDefault="002F3A23">
      <w:pPr>
        <w:spacing w:before="120" w:after="120"/>
        <w:rPr>
          <w:sz w:val="20"/>
        </w:rPr>
      </w:pPr>
      <w:r>
        <w:rPr>
          <w:rFonts w:hint="eastAsia"/>
          <w:iCs/>
          <w:sz w:val="20"/>
        </w:rPr>
        <w:t>On the contrary, t</w:t>
      </w:r>
      <w:r>
        <w:rPr>
          <w:iCs/>
          <w:sz w:val="20"/>
        </w:rPr>
        <w:t xml:space="preserve">he method with symbol level alignment </w:t>
      </w:r>
      <w:r>
        <w:rPr>
          <w:rFonts w:hint="eastAsia"/>
          <w:iCs/>
          <w:sz w:val="20"/>
        </w:rPr>
        <w:t xml:space="preserve">can be used </w:t>
      </w:r>
      <w:r>
        <w:rPr>
          <w:iCs/>
          <w:sz w:val="20"/>
        </w:rPr>
        <w:t>to avoid negative TA issue</w:t>
      </w:r>
      <w:r>
        <w:rPr>
          <w:rFonts w:hint="eastAsia"/>
          <w:iCs/>
          <w:sz w:val="20"/>
        </w:rPr>
        <w:t xml:space="preserve"> by</w:t>
      </w:r>
      <w:r>
        <w:rPr>
          <w:iCs/>
          <w:sz w:val="20"/>
        </w:rPr>
        <w:t xml:space="preserve"> advanc</w:t>
      </w:r>
      <w:r>
        <w:rPr>
          <w:rFonts w:hint="eastAsia"/>
          <w:iCs/>
          <w:sz w:val="20"/>
        </w:rPr>
        <w:t>ing</w:t>
      </w:r>
      <w:r>
        <w:rPr>
          <w:iCs/>
          <w:sz w:val="20"/>
        </w:rPr>
        <w:t xml:space="preserve"> IAB node’s UL-Rx timing </w:t>
      </w:r>
      <w:r>
        <w:rPr>
          <w:sz w:val="20"/>
        </w:rPr>
        <w:t xml:space="preserve">until the TA becomes positive and meanwhile </w:t>
      </w:r>
      <w:r>
        <w:rPr>
          <w:rFonts w:hint="eastAsia"/>
          <w:sz w:val="20"/>
        </w:rPr>
        <w:t xml:space="preserve">aligning </w:t>
      </w:r>
      <w:r>
        <w:rPr>
          <w:sz w:val="20"/>
        </w:rPr>
        <w:t xml:space="preserve">UL-Rx timing </w:t>
      </w:r>
      <w:r>
        <w:rPr>
          <w:rFonts w:hint="eastAsia"/>
          <w:sz w:val="20"/>
        </w:rPr>
        <w:t>and</w:t>
      </w:r>
      <w:r>
        <w:rPr>
          <w:sz w:val="20"/>
        </w:rPr>
        <w:t xml:space="preserve"> DL-Rx timing</w:t>
      </w:r>
      <w:r>
        <w:rPr>
          <w:rFonts w:hint="eastAsia"/>
          <w:sz w:val="20"/>
        </w:rPr>
        <w:t xml:space="preserve"> with symbol granularity</w:t>
      </w:r>
      <w:r>
        <w:rPr>
          <w:sz w:val="20"/>
        </w:rPr>
        <w:t xml:space="preserve">. Obviously, this method has better </w:t>
      </w:r>
      <w:r>
        <w:rPr>
          <w:rFonts w:hint="eastAsia"/>
          <w:sz w:val="20"/>
        </w:rPr>
        <w:t>Rel-</w:t>
      </w:r>
      <w:r>
        <w:rPr>
          <w:sz w:val="20"/>
        </w:rPr>
        <w:t>15/16 UEs compatibility.</w:t>
      </w:r>
    </w:p>
    <w:p w:rsidR="0006075B" w:rsidRDefault="002F3A23">
      <w:pPr>
        <w:spacing w:before="120" w:after="120"/>
        <w:rPr>
          <w:b/>
          <w:bCs/>
          <w:i/>
          <w:iCs/>
          <w:sz w:val="20"/>
        </w:rPr>
      </w:pPr>
      <w:r>
        <w:rPr>
          <w:b/>
          <w:bCs/>
          <w:i/>
          <w:iCs/>
          <w:sz w:val="20"/>
        </w:rPr>
        <w:t xml:space="preserve">Observation 3: </w:t>
      </w:r>
      <w:r>
        <w:rPr>
          <w:rFonts w:hint="eastAsia"/>
          <w:b/>
          <w:bCs/>
          <w:i/>
          <w:iCs/>
          <w:sz w:val="20"/>
        </w:rPr>
        <w:t>Slot level alignment</w:t>
      </w:r>
      <w:r>
        <w:rPr>
          <w:b/>
          <w:bCs/>
          <w:i/>
          <w:iCs/>
          <w:sz w:val="20"/>
        </w:rPr>
        <w:t xml:space="preserve"> </w:t>
      </w:r>
      <w:r>
        <w:rPr>
          <w:rFonts w:hint="eastAsia"/>
          <w:b/>
          <w:bCs/>
          <w:i/>
          <w:iCs/>
          <w:sz w:val="20"/>
        </w:rPr>
        <w:t xml:space="preserve">of case-7 timing may have more compatibility issues with legacy access </w:t>
      </w:r>
      <w:r>
        <w:rPr>
          <w:b/>
          <w:bCs/>
          <w:i/>
          <w:iCs/>
          <w:sz w:val="20"/>
        </w:rPr>
        <w:t>UEs.</w:t>
      </w:r>
    </w:p>
    <w:p w:rsidR="0006075B" w:rsidRDefault="002F3A23">
      <w:pPr>
        <w:spacing w:before="120" w:after="120"/>
        <w:rPr>
          <w:b/>
          <w:bCs/>
          <w:i/>
          <w:iCs/>
          <w:sz w:val="20"/>
        </w:rPr>
      </w:pPr>
      <w:r>
        <w:rPr>
          <w:b/>
          <w:bCs/>
          <w:i/>
          <w:iCs/>
          <w:sz w:val="20"/>
        </w:rPr>
        <w:t xml:space="preserve">Proposal 3: Symbol level alignment between IAB node’s UL-Rx timing and DL-Rx timing </w:t>
      </w:r>
      <w:r>
        <w:rPr>
          <w:rFonts w:hint="eastAsia"/>
          <w:b/>
          <w:bCs/>
          <w:i/>
          <w:iCs/>
          <w:sz w:val="20"/>
        </w:rPr>
        <w:t xml:space="preserve">should </w:t>
      </w:r>
      <w:r>
        <w:rPr>
          <w:b/>
          <w:bCs/>
          <w:i/>
          <w:iCs/>
          <w:sz w:val="20"/>
        </w:rPr>
        <w:t xml:space="preserve">be </w:t>
      </w:r>
      <w:r>
        <w:rPr>
          <w:rFonts w:hint="eastAsia"/>
          <w:b/>
          <w:bCs/>
          <w:i/>
          <w:iCs/>
          <w:sz w:val="20"/>
        </w:rPr>
        <w:t xml:space="preserve">supported </w:t>
      </w:r>
      <w:r>
        <w:rPr>
          <w:b/>
          <w:bCs/>
          <w:i/>
          <w:iCs/>
          <w:sz w:val="20"/>
        </w:rPr>
        <w:t>as a solution to resolve potential negative TA issue of case-7 timing.</w:t>
      </w:r>
    </w:p>
    <w:p w:rsidR="0006075B" w:rsidRDefault="002F3A23">
      <w:pPr>
        <w:spacing w:before="120" w:after="120"/>
        <w:rPr>
          <w:b/>
          <w:i/>
          <w:sz w:val="20"/>
          <w:u w:val="single"/>
        </w:rPr>
      </w:pPr>
      <w:r>
        <w:rPr>
          <w:b/>
          <w:i/>
          <w:sz w:val="20"/>
          <w:u w:val="single"/>
        </w:rPr>
        <w:t>‘Case-7 timing’ for MT-Tx/DU-Rx</w:t>
      </w:r>
    </w:p>
    <w:p w:rsidR="0006075B" w:rsidRDefault="002F3A23">
      <w:pPr>
        <w:spacing w:before="120" w:after="120"/>
        <w:rPr>
          <w:sz w:val="20"/>
        </w:rPr>
      </w:pPr>
      <w:r>
        <w:rPr>
          <w:sz w:val="20"/>
        </w:rPr>
        <w:t>First of all, we think whether “case-7 timing” is supported in Rel-17 for IAB-nodes operating in multiplexing scenario with simultaneous MT-Tx/DU-Rx depends on the clear decision whether MT-Tx/DU-Rx still needs to support when multi-panel does not have good isolation, otherwise, the requirement to perform the timing of MT-Tx/DU-Rx with “case-7 timing” should be completely omitted. However, the decision itself is uncertain, thus, it is not very urgent to discuss this FFS.</w:t>
      </w:r>
    </w:p>
    <w:p w:rsidR="0006075B" w:rsidRDefault="002F3A23">
      <w:pPr>
        <w:spacing w:before="120" w:after="120"/>
        <w:rPr>
          <w:b/>
          <w:bCs/>
          <w:i/>
          <w:iCs/>
          <w:sz w:val="20"/>
        </w:rPr>
      </w:pPr>
      <w:r>
        <w:rPr>
          <w:b/>
          <w:bCs/>
          <w:i/>
          <w:iCs/>
          <w:sz w:val="20"/>
        </w:rPr>
        <w:t>Observation 4: Whether “case-7 timing” is supported for simultaneous MT-Tx/DU-Rx depends on the clear decision whether MT-Tx/DU-Rx still needs to support when multi-panel does not have good isolation. If no, the FFS should be completely omitted.</w:t>
      </w:r>
    </w:p>
    <w:p w:rsidR="0006075B" w:rsidRDefault="002F3A23">
      <w:pPr>
        <w:spacing w:before="120" w:after="120"/>
        <w:rPr>
          <w:sz w:val="20"/>
        </w:rPr>
      </w:pPr>
      <w:r>
        <w:rPr>
          <w:sz w:val="20"/>
        </w:rPr>
        <w:t>As discussed and clarified during RAN1 #102-e, “case-7 timing” for simultaneous MT-Tx/DU-Rx here is the alignment between UL-Tx timing and UL-Rx timing, which is obvious difference from the definition of case-7 timing proposed during Rel-15 SI.</w:t>
      </w:r>
    </w:p>
    <w:p w:rsidR="0006075B" w:rsidRDefault="002F3A23">
      <w:pPr>
        <w:spacing w:before="120" w:after="120"/>
        <w:rPr>
          <w:b/>
          <w:bCs/>
          <w:i/>
          <w:iCs/>
          <w:sz w:val="20"/>
        </w:rPr>
      </w:pPr>
      <w:r>
        <w:rPr>
          <w:b/>
          <w:bCs/>
          <w:i/>
          <w:iCs/>
          <w:sz w:val="20"/>
        </w:rPr>
        <w:t xml:space="preserve">Observation 5: The </w:t>
      </w:r>
      <w:r>
        <w:rPr>
          <w:rFonts w:hint="eastAsia"/>
          <w:b/>
          <w:bCs/>
          <w:i/>
          <w:iCs/>
          <w:sz w:val="20"/>
        </w:rPr>
        <w:t xml:space="preserve">so-called </w:t>
      </w:r>
      <w:r>
        <w:rPr>
          <w:b/>
          <w:bCs/>
          <w:i/>
          <w:iCs/>
          <w:sz w:val="20"/>
        </w:rPr>
        <w:t>“case-7 timing” for simultaneous MT-Tx/DU-Rx is a new kind of timing mode</w:t>
      </w:r>
      <w:r>
        <w:rPr>
          <w:rFonts w:hint="eastAsia"/>
          <w:b/>
          <w:bCs/>
          <w:i/>
          <w:iCs/>
          <w:sz w:val="20"/>
        </w:rPr>
        <w:t xml:space="preserve"> which has not been discussed during Rel-15 SI</w:t>
      </w:r>
      <w:r>
        <w:rPr>
          <w:b/>
          <w:bCs/>
          <w:i/>
          <w:iCs/>
          <w:sz w:val="20"/>
        </w:rPr>
        <w:t>.</w:t>
      </w:r>
    </w:p>
    <w:p w:rsidR="0006075B" w:rsidRDefault="002F3A23">
      <w:pPr>
        <w:spacing w:before="120" w:after="120"/>
        <w:rPr>
          <w:sz w:val="20"/>
        </w:rPr>
      </w:pPr>
      <w:r>
        <w:rPr>
          <w:sz w:val="20"/>
        </w:rPr>
        <w:t xml:space="preserve">Generally, </w:t>
      </w:r>
      <w:r>
        <w:rPr>
          <w:rFonts w:hint="eastAsia"/>
          <w:sz w:val="20"/>
        </w:rPr>
        <w:t>for MT-Tx/DU-Rx timing alignment, some companies assume that it is similar as MT-Rx/DU-Rx timing alignment, i.e., just make DU</w:t>
      </w:r>
      <w:r>
        <w:rPr>
          <w:sz w:val="20"/>
        </w:rPr>
        <w:t>-Rx timing to align with</w:t>
      </w:r>
      <w:r>
        <w:rPr>
          <w:rFonts w:hint="eastAsia"/>
          <w:sz w:val="20"/>
        </w:rPr>
        <w:t xml:space="preserve"> the determined MT Tx/Rx</w:t>
      </w:r>
      <w:r>
        <w:rPr>
          <w:sz w:val="20"/>
        </w:rPr>
        <w:t xml:space="preserve"> timing. </w:t>
      </w:r>
      <w:r>
        <w:rPr>
          <w:rFonts w:hint="eastAsia"/>
          <w:sz w:val="20"/>
        </w:rPr>
        <w:t>But from our point of view, MT-Tx/DU-Rx timing alignment has some particular issues, for example, it</w:t>
      </w:r>
      <w:r>
        <w:rPr>
          <w:sz w:val="20"/>
        </w:rPr>
        <w:t xml:space="preserve"> will increase time offset between UL-Rx timing and DL-Tx timing at the IAB node due to advanced UL-Rx timing,</w:t>
      </w:r>
      <w:r>
        <w:rPr>
          <w:rFonts w:hint="eastAsia"/>
          <w:sz w:val="20"/>
        </w:rPr>
        <w:t xml:space="preserve"> and such offset increment would be accumulated hop by hop.</w:t>
      </w:r>
      <w:r>
        <w:rPr>
          <w:sz w:val="20"/>
        </w:rPr>
        <w:t xml:space="preserve"> In other words, time offset between UL-Rx timing and DL-Tx timing at the n</w:t>
      </w:r>
      <w:r>
        <w:rPr>
          <w:rFonts w:hint="eastAsia"/>
          <w:sz w:val="20"/>
        </w:rPr>
        <w:t>-</w:t>
      </w:r>
      <w:r>
        <w:rPr>
          <w:sz w:val="20"/>
        </w:rPr>
        <w:t xml:space="preserve">th hop IAB node contains all the components of transmission propagation </w:t>
      </w:r>
      <w:r w:rsidR="006C756C">
        <w:rPr>
          <w:sz w:val="20"/>
        </w:rPr>
        <w:t xml:space="preserve">delay </w:t>
      </w:r>
      <w:r>
        <w:rPr>
          <w:sz w:val="20"/>
        </w:rPr>
        <w:t>at the first (n-1) hop</w:t>
      </w:r>
      <w:r w:rsidR="006C756C">
        <w:rPr>
          <w:sz w:val="20"/>
        </w:rPr>
        <w:t>s</w:t>
      </w:r>
      <w:r>
        <w:rPr>
          <w:sz w:val="20"/>
        </w:rPr>
        <w:t xml:space="preserve">. On the other hand, T_delta </w:t>
      </w:r>
      <w:r>
        <w:rPr>
          <w:rFonts w:hint="eastAsia"/>
          <w:sz w:val="20"/>
        </w:rPr>
        <w:t xml:space="preserve">defined for case-1 timing </w:t>
      </w:r>
      <w:r>
        <w:rPr>
          <w:sz w:val="20"/>
        </w:rPr>
        <w:t xml:space="preserve">directly reflect the time offset and its lower limit is -70528 Tc, </w:t>
      </w:r>
      <w:r>
        <w:rPr>
          <w:rFonts w:hint="eastAsia"/>
          <w:sz w:val="20"/>
        </w:rPr>
        <w:t xml:space="preserve">in other words, in order to keep the coverage unaffected of each hop, it may lead to the value of time offset be out of the current range of T_delta due to the chain reaction. In addition, any adjustment of UL-Tx timing of an IAB node on n-th hop may lead to adjustments of UL-Tx timing in IAB nodes that are on all follow-up hops. The worse is that these adjustments inside IAB nodes may not be able to well sync-up with each other and it is hard for IAB node and its parent to know when the sync-up is well-done. </w:t>
      </w:r>
    </w:p>
    <w:p w:rsidR="0006075B" w:rsidRDefault="002F3A23">
      <w:pPr>
        <w:spacing w:before="120" w:after="120"/>
        <w:rPr>
          <w:b/>
          <w:bCs/>
          <w:i/>
          <w:iCs/>
          <w:sz w:val="20"/>
        </w:rPr>
      </w:pPr>
      <w:r>
        <w:rPr>
          <w:b/>
          <w:bCs/>
          <w:i/>
          <w:iCs/>
          <w:sz w:val="20"/>
        </w:rPr>
        <w:t xml:space="preserve">Observation 6: </w:t>
      </w:r>
      <w:r>
        <w:rPr>
          <w:rFonts w:hint="eastAsia"/>
          <w:b/>
          <w:bCs/>
          <w:i/>
          <w:iCs/>
          <w:sz w:val="20"/>
        </w:rPr>
        <w:t>If</w:t>
      </w:r>
      <w:r>
        <w:rPr>
          <w:b/>
          <w:bCs/>
          <w:i/>
          <w:iCs/>
          <w:sz w:val="20"/>
        </w:rPr>
        <w:t xml:space="preserve"> </w:t>
      </w:r>
      <w:r>
        <w:rPr>
          <w:rFonts w:hint="eastAsia"/>
          <w:b/>
          <w:bCs/>
          <w:i/>
          <w:iCs/>
          <w:sz w:val="20"/>
        </w:rPr>
        <w:t>MT-Tx/DU-Rx timing alignment was supported, several serious problems may happen due to chain reaction:</w:t>
      </w:r>
    </w:p>
    <w:p w:rsidR="0006075B" w:rsidRDefault="002F3A23">
      <w:pPr>
        <w:numPr>
          <w:ilvl w:val="0"/>
          <w:numId w:val="11"/>
        </w:numPr>
        <w:spacing w:before="120" w:after="120"/>
        <w:ind w:leftChars="199" w:left="840" w:hangingChars="210" w:hanging="422"/>
        <w:rPr>
          <w:b/>
          <w:bCs/>
          <w:i/>
          <w:iCs/>
          <w:sz w:val="20"/>
        </w:rPr>
      </w:pPr>
      <w:r>
        <w:rPr>
          <w:rFonts w:hint="eastAsia"/>
          <w:b/>
          <w:bCs/>
          <w:i/>
          <w:iCs/>
          <w:sz w:val="20"/>
        </w:rPr>
        <w:t>The time offset between UL-Rx timing and DL-Tx timing (i.e.</w:t>
      </w:r>
      <w:r w:rsidR="00B27ADE">
        <w:rPr>
          <w:b/>
          <w:bCs/>
          <w:i/>
          <w:iCs/>
          <w:sz w:val="20"/>
        </w:rPr>
        <w:t>,</w:t>
      </w:r>
      <w:r>
        <w:rPr>
          <w:rFonts w:hint="eastAsia"/>
          <w:b/>
          <w:bCs/>
          <w:i/>
          <w:iCs/>
          <w:sz w:val="20"/>
        </w:rPr>
        <w:t xml:space="preserve"> Tdelta) would be increased as IAB node</w:t>
      </w:r>
      <w:r>
        <w:rPr>
          <w:b/>
          <w:bCs/>
          <w:i/>
          <w:iCs/>
          <w:sz w:val="20"/>
        </w:rPr>
        <w:t>’</w:t>
      </w:r>
      <w:r>
        <w:rPr>
          <w:rFonts w:hint="eastAsia"/>
          <w:b/>
          <w:bCs/>
          <w:i/>
          <w:iCs/>
          <w:sz w:val="20"/>
        </w:rPr>
        <w:t>s hopping number increases.</w:t>
      </w:r>
    </w:p>
    <w:p w:rsidR="0006075B" w:rsidRDefault="002F3A23">
      <w:pPr>
        <w:numPr>
          <w:ilvl w:val="0"/>
          <w:numId w:val="11"/>
        </w:numPr>
        <w:spacing w:before="120" w:after="120"/>
        <w:ind w:leftChars="199" w:left="840" w:hangingChars="210" w:hanging="422"/>
        <w:rPr>
          <w:b/>
          <w:bCs/>
          <w:i/>
          <w:iCs/>
          <w:sz w:val="20"/>
        </w:rPr>
      </w:pPr>
      <w:r>
        <w:rPr>
          <w:rFonts w:hint="eastAsia"/>
          <w:b/>
          <w:bCs/>
          <w:i/>
          <w:iCs/>
          <w:sz w:val="20"/>
        </w:rPr>
        <w:t>Any adjustment of UL-Tx timing of an IAB node would lead to adjustments of UL-Tx timing on all its follow-up hops.</w:t>
      </w:r>
    </w:p>
    <w:p w:rsidR="0006075B" w:rsidRDefault="002F3A23">
      <w:pPr>
        <w:spacing w:before="120" w:after="120"/>
        <w:rPr>
          <w:sz w:val="20"/>
        </w:rPr>
      </w:pPr>
      <w:r>
        <w:rPr>
          <w:sz w:val="20"/>
        </w:rPr>
        <w:t>Base on the above analysis, we give the following proposal:</w:t>
      </w:r>
    </w:p>
    <w:p w:rsidR="0006075B" w:rsidRDefault="002F3A23">
      <w:pPr>
        <w:numPr>
          <w:ilvl w:val="255"/>
          <w:numId w:val="0"/>
        </w:numPr>
        <w:spacing w:before="120" w:after="120"/>
        <w:rPr>
          <w:sz w:val="20"/>
        </w:rPr>
      </w:pPr>
      <w:r>
        <w:rPr>
          <w:b/>
          <w:bCs/>
          <w:i/>
          <w:iCs/>
          <w:sz w:val="20"/>
        </w:rPr>
        <w:t xml:space="preserve">Proposal </w:t>
      </w:r>
      <w:r>
        <w:rPr>
          <w:rFonts w:hint="eastAsia"/>
          <w:b/>
          <w:bCs/>
          <w:i/>
          <w:iCs/>
          <w:sz w:val="20"/>
        </w:rPr>
        <w:t>4</w:t>
      </w:r>
      <w:r>
        <w:rPr>
          <w:b/>
          <w:bCs/>
          <w:i/>
          <w:iCs/>
          <w:sz w:val="20"/>
        </w:rPr>
        <w:t xml:space="preserve">: </w:t>
      </w:r>
      <w:r>
        <w:rPr>
          <w:rFonts w:hint="eastAsia"/>
          <w:b/>
          <w:bCs/>
          <w:i/>
          <w:iCs/>
          <w:sz w:val="20"/>
        </w:rPr>
        <w:t>S</w:t>
      </w:r>
      <w:r>
        <w:rPr>
          <w:b/>
          <w:bCs/>
          <w:i/>
          <w:iCs/>
          <w:sz w:val="20"/>
        </w:rPr>
        <w:t xml:space="preserve">o-called “case-7 timing” </w:t>
      </w:r>
      <w:r>
        <w:rPr>
          <w:rFonts w:hint="eastAsia"/>
          <w:b/>
          <w:bCs/>
          <w:i/>
          <w:iCs/>
          <w:sz w:val="20"/>
        </w:rPr>
        <w:t xml:space="preserve">is not supported </w:t>
      </w:r>
      <w:r>
        <w:rPr>
          <w:b/>
          <w:bCs/>
          <w:i/>
          <w:iCs/>
          <w:sz w:val="20"/>
        </w:rPr>
        <w:t xml:space="preserve">for </w:t>
      </w:r>
      <w:r>
        <w:rPr>
          <w:rFonts w:hint="eastAsia"/>
          <w:b/>
          <w:bCs/>
          <w:i/>
          <w:iCs/>
          <w:sz w:val="20"/>
        </w:rPr>
        <w:t xml:space="preserve">multiplexing case D (i.e., </w:t>
      </w:r>
      <w:r>
        <w:rPr>
          <w:b/>
          <w:bCs/>
          <w:i/>
          <w:iCs/>
          <w:sz w:val="20"/>
        </w:rPr>
        <w:t>simultaneous MT-Tx/DU-Rx</w:t>
      </w:r>
      <w:r>
        <w:rPr>
          <w:rFonts w:hint="eastAsia"/>
          <w:b/>
          <w:bCs/>
          <w:i/>
          <w:iCs/>
          <w:sz w:val="20"/>
        </w:rPr>
        <w:t>).</w:t>
      </w:r>
    </w:p>
    <w:p w:rsidR="0006075B" w:rsidRDefault="002F3A23">
      <w:pPr>
        <w:pStyle w:val="2"/>
        <w:spacing w:before="120" w:after="120"/>
        <w:ind w:right="210"/>
        <w:rPr>
          <w:rFonts w:ascii="Arial" w:hAnsi="Arial" w:cs="Arial"/>
        </w:rPr>
      </w:pPr>
      <w:r>
        <w:rPr>
          <w:rFonts w:ascii="Arial" w:hAnsi="Arial" w:cs="Arial" w:hint="eastAsia"/>
        </w:rPr>
        <w:t>2.2 Power control/sharing</w:t>
      </w:r>
      <w:r>
        <w:rPr>
          <w:rFonts w:ascii="Arial" w:hAnsi="Arial" w:cs="Arial"/>
        </w:rPr>
        <w:t xml:space="preserve"> for simultaneous operation</w:t>
      </w:r>
    </w:p>
    <w:p w:rsidR="0006075B" w:rsidRDefault="002F3A23">
      <w:pPr>
        <w:spacing w:before="120" w:after="120"/>
        <w:rPr>
          <w:sz w:val="20"/>
        </w:rPr>
      </w:pPr>
      <w:r>
        <w:rPr>
          <w:rFonts w:hint="eastAsia"/>
          <w:sz w:val="20"/>
        </w:rPr>
        <w:t>The feature lead summary in RAN1 #102 e-</w:t>
      </w:r>
      <w:r w:rsidR="006522AC">
        <w:rPr>
          <w:sz w:val="20"/>
        </w:rPr>
        <w:t>m</w:t>
      </w:r>
      <w:r>
        <w:rPr>
          <w:rFonts w:hint="eastAsia"/>
          <w:sz w:val="20"/>
        </w:rPr>
        <w:t>eeting had provided the following proposals</w:t>
      </w:r>
      <w:r w:rsidR="006C756C">
        <w:rPr>
          <w:sz w:val="20"/>
        </w:rPr>
        <w:t xml:space="preserve"> [2]</w:t>
      </w:r>
      <w:r>
        <w:rPr>
          <w:rFonts w:hint="eastAsia"/>
          <w:sz w:val="20"/>
        </w:rPr>
        <w:t>:</w:t>
      </w:r>
    </w:p>
    <w:tbl>
      <w:tblPr>
        <w:tblStyle w:val="ae"/>
        <w:tblW w:w="0" w:type="auto"/>
        <w:tblLook w:val="04A0" w:firstRow="1" w:lastRow="0" w:firstColumn="1" w:lastColumn="0" w:noHBand="0" w:noVBand="1"/>
      </w:tblPr>
      <w:tblGrid>
        <w:gridCol w:w="9876"/>
      </w:tblGrid>
      <w:tr w:rsidR="0006075B">
        <w:tc>
          <w:tcPr>
            <w:tcW w:w="9876" w:type="dxa"/>
          </w:tcPr>
          <w:p w:rsidR="0006075B" w:rsidRDefault="002F3A23">
            <w:pPr>
              <w:spacing w:before="120" w:after="120"/>
              <w:rPr>
                <w:b/>
                <w:bCs/>
                <w:sz w:val="20"/>
                <w:u w:val="single"/>
              </w:rPr>
            </w:pPr>
            <w:r>
              <w:rPr>
                <w:b/>
                <w:bCs/>
                <w:sz w:val="20"/>
                <w:u w:val="single"/>
              </w:rPr>
              <w:t>FL Proposal 5.1c:</w:t>
            </w:r>
          </w:p>
          <w:p w:rsidR="0006075B" w:rsidRDefault="002F3A23">
            <w:pPr>
              <w:spacing w:before="120" w:after="120"/>
              <w:rPr>
                <w:sz w:val="20"/>
              </w:rPr>
            </w:pPr>
            <w:r>
              <w:rPr>
                <w:sz w:val="20"/>
              </w:rPr>
              <w:t>The following power control mechanisms for a given IAB-node should be further studied:</w:t>
            </w:r>
          </w:p>
          <w:p w:rsidR="0006075B" w:rsidRDefault="002F3A23">
            <w:pPr>
              <w:pStyle w:val="af2"/>
              <w:numPr>
                <w:ilvl w:val="0"/>
                <w:numId w:val="12"/>
              </w:numPr>
              <w:spacing w:after="120"/>
              <w:rPr>
                <w:sz w:val="20"/>
                <w:szCs w:val="20"/>
              </w:rPr>
            </w:pPr>
            <w:r>
              <w:rPr>
                <w:sz w:val="20"/>
                <w:szCs w:val="20"/>
              </w:rPr>
              <w:t>DL power control with assistance information from the child node for at least Rx imbalance mitigation at child node</w:t>
            </w:r>
          </w:p>
          <w:p w:rsidR="0006075B" w:rsidRDefault="002F3A23">
            <w:pPr>
              <w:pStyle w:val="af2"/>
              <w:numPr>
                <w:ilvl w:val="0"/>
                <w:numId w:val="12"/>
              </w:numPr>
              <w:spacing w:after="120"/>
              <w:rPr>
                <w:sz w:val="20"/>
                <w:szCs w:val="20"/>
              </w:rPr>
            </w:pPr>
            <w:r>
              <w:rPr>
                <w:sz w:val="20"/>
                <w:szCs w:val="20"/>
              </w:rPr>
              <w:t>DL power control with assistance information from the parent node for at least Tx imbalance mitigation at IAB-node</w:t>
            </w:r>
          </w:p>
          <w:p w:rsidR="0006075B" w:rsidRDefault="002F3A23">
            <w:pPr>
              <w:pStyle w:val="af2"/>
              <w:numPr>
                <w:ilvl w:val="0"/>
                <w:numId w:val="12"/>
              </w:numPr>
              <w:spacing w:after="120"/>
              <w:rPr>
                <w:sz w:val="20"/>
                <w:szCs w:val="20"/>
              </w:rPr>
            </w:pPr>
            <w:r>
              <w:rPr>
                <w:sz w:val="20"/>
                <w:szCs w:val="20"/>
              </w:rPr>
              <w:t>UL power control with assistance information from the child node for Tx imbalance mitigation at child node</w:t>
            </w:r>
          </w:p>
          <w:p w:rsidR="0006075B" w:rsidRDefault="002F3A23">
            <w:pPr>
              <w:pStyle w:val="af2"/>
              <w:numPr>
                <w:ilvl w:val="0"/>
                <w:numId w:val="12"/>
              </w:numPr>
              <w:spacing w:after="120"/>
              <w:rPr>
                <w:b/>
                <w:bCs/>
              </w:rPr>
            </w:pPr>
            <w:r>
              <w:rPr>
                <w:sz w:val="20"/>
                <w:szCs w:val="20"/>
              </w:rPr>
              <w:t>UL power control with assistance information from the parent node for Rx imbalance mitigation at IAB-node</w:t>
            </w:r>
          </w:p>
          <w:p w:rsidR="0006075B" w:rsidRDefault="0006075B">
            <w:pPr>
              <w:spacing w:before="120" w:after="120"/>
              <w:rPr>
                <w:sz w:val="20"/>
              </w:rPr>
            </w:pPr>
          </w:p>
        </w:tc>
      </w:tr>
    </w:tbl>
    <w:p w:rsidR="0006075B" w:rsidRDefault="002F3A23">
      <w:pPr>
        <w:spacing w:before="120" w:after="120"/>
        <w:rPr>
          <w:sz w:val="20"/>
        </w:rPr>
      </w:pPr>
      <w:r>
        <w:rPr>
          <w:rFonts w:hint="eastAsia"/>
          <w:sz w:val="20"/>
        </w:rPr>
        <w:t>For an IAB node, we can observe from the FL Proposal 5.1c that both DL power control refers to IAB-DU DL power control and UL power control refers to child-MT UL power control should be further studied in Rel-17.</w:t>
      </w:r>
    </w:p>
    <w:p w:rsidR="0006075B" w:rsidRDefault="002F3A23">
      <w:pPr>
        <w:spacing w:before="120" w:after="120"/>
        <w:rPr>
          <w:b/>
          <w:i/>
          <w:sz w:val="20"/>
          <w:u w:val="single"/>
        </w:rPr>
      </w:pPr>
      <w:r>
        <w:rPr>
          <w:rFonts w:hint="eastAsia"/>
          <w:b/>
          <w:i/>
          <w:sz w:val="20"/>
          <w:u w:val="single"/>
        </w:rPr>
        <w:t>DL p</w:t>
      </w:r>
      <w:r>
        <w:rPr>
          <w:b/>
          <w:i/>
          <w:sz w:val="20"/>
          <w:u w:val="single"/>
        </w:rPr>
        <w:t xml:space="preserve">ower </w:t>
      </w:r>
      <w:r>
        <w:rPr>
          <w:rFonts w:hint="eastAsia"/>
          <w:b/>
          <w:i/>
          <w:sz w:val="20"/>
          <w:u w:val="single"/>
        </w:rPr>
        <w:t>control for IAB-DU</w:t>
      </w:r>
    </w:p>
    <w:p w:rsidR="0006075B" w:rsidRDefault="002F3A23">
      <w:pPr>
        <w:spacing w:before="120" w:after="120"/>
        <w:rPr>
          <w:sz w:val="20"/>
        </w:rPr>
      </w:pPr>
      <w:r>
        <w:rPr>
          <w:sz w:val="20"/>
        </w:rPr>
        <w:t>Similar to UL power control</w:t>
      </w:r>
      <w:r>
        <w:rPr>
          <w:rFonts w:hint="eastAsia"/>
          <w:sz w:val="20"/>
        </w:rPr>
        <w:t xml:space="preserve"> of NR access UEs, the parameters used for DL power control of IAB-DU should associated with beam information. In </w:t>
      </w:r>
      <w:r w:rsidR="006522AC">
        <w:rPr>
          <w:sz w:val="20"/>
        </w:rPr>
        <w:t>practice</w:t>
      </w:r>
      <w:r>
        <w:rPr>
          <w:rFonts w:hint="eastAsia"/>
          <w:sz w:val="20"/>
        </w:rPr>
        <w:t>,</w:t>
      </w:r>
      <w:r w:rsidR="006522AC">
        <w:rPr>
          <w:sz w:val="20"/>
        </w:rPr>
        <w:t xml:space="preserve"> </w:t>
      </w:r>
      <w:r>
        <w:rPr>
          <w:rFonts w:hint="eastAsia"/>
          <w:sz w:val="20"/>
        </w:rPr>
        <w:t>DU can use different beams in different time and this would lead to different RX power and DL pathloss at its child node.</w:t>
      </w:r>
    </w:p>
    <w:p w:rsidR="0006075B" w:rsidRDefault="002F3A23">
      <w:pPr>
        <w:spacing w:before="120" w:after="120"/>
      </w:pPr>
      <w:r>
        <w:rPr>
          <w:b/>
          <w:bCs/>
          <w:i/>
          <w:iCs/>
          <w:sz w:val="20"/>
        </w:rPr>
        <w:t xml:space="preserve">Proposal </w:t>
      </w:r>
      <w:r>
        <w:rPr>
          <w:rFonts w:hint="eastAsia"/>
          <w:b/>
          <w:bCs/>
          <w:i/>
          <w:iCs/>
          <w:sz w:val="20"/>
        </w:rPr>
        <w:t>5</w:t>
      </w:r>
      <w:r>
        <w:rPr>
          <w:b/>
          <w:bCs/>
          <w:i/>
          <w:iCs/>
          <w:sz w:val="20"/>
        </w:rPr>
        <w:t>:</w:t>
      </w:r>
      <w:r>
        <w:rPr>
          <w:rFonts w:hint="eastAsia"/>
          <w:b/>
          <w:bCs/>
          <w:i/>
          <w:iCs/>
          <w:sz w:val="20"/>
        </w:rPr>
        <w:t xml:space="preserve"> Beam depended DL power control of IAB-DU should be considered (e.g.</w:t>
      </w:r>
      <w:r w:rsidR="00B27ADE">
        <w:rPr>
          <w:b/>
          <w:bCs/>
          <w:i/>
          <w:iCs/>
          <w:sz w:val="20"/>
        </w:rPr>
        <w:t>,</w:t>
      </w:r>
      <w:r>
        <w:rPr>
          <w:rFonts w:hint="eastAsia"/>
          <w:b/>
          <w:bCs/>
          <w:i/>
          <w:iCs/>
          <w:sz w:val="20"/>
        </w:rPr>
        <w:t xml:space="preserve"> different PC parameters could be associated with different TCI states, or CSI-RSs).</w:t>
      </w:r>
    </w:p>
    <w:p w:rsidR="0006075B" w:rsidRDefault="002F3A23">
      <w:pPr>
        <w:spacing w:before="120" w:after="120"/>
        <w:rPr>
          <w:sz w:val="20"/>
        </w:rPr>
      </w:pPr>
      <w:r>
        <w:rPr>
          <w:rFonts w:hint="eastAsia"/>
          <w:sz w:val="20"/>
        </w:rPr>
        <w:t>For simultaneous DU-Rx/MT-Rx at child node, the child node can indicate expected DL Rx power (or equivalent parameters) to IAB node to ensure Rx power balance.</w:t>
      </w:r>
    </w:p>
    <w:p w:rsidR="0006075B" w:rsidRDefault="002F3A23">
      <w:pPr>
        <w:spacing w:before="120" w:after="120"/>
        <w:rPr>
          <w:sz w:val="20"/>
        </w:rPr>
      </w:pPr>
      <w:r>
        <w:rPr>
          <w:b/>
          <w:bCs/>
          <w:i/>
          <w:iCs/>
          <w:sz w:val="20"/>
        </w:rPr>
        <w:t xml:space="preserve">Proposal </w:t>
      </w:r>
      <w:r>
        <w:rPr>
          <w:rFonts w:hint="eastAsia"/>
          <w:b/>
          <w:bCs/>
          <w:i/>
          <w:iCs/>
          <w:sz w:val="20"/>
        </w:rPr>
        <w:t>6</w:t>
      </w:r>
      <w:r>
        <w:rPr>
          <w:b/>
          <w:bCs/>
          <w:i/>
          <w:iCs/>
          <w:sz w:val="20"/>
        </w:rPr>
        <w:t>:</w:t>
      </w:r>
      <w:r>
        <w:rPr>
          <w:rFonts w:hint="eastAsia"/>
          <w:b/>
          <w:bCs/>
          <w:i/>
          <w:iCs/>
          <w:sz w:val="20"/>
        </w:rPr>
        <w:t xml:space="preserve"> Expected DL Rx power level or equivalent parameters could be indicated from child node to IAB node to assist the DL power control of IAB-DU.</w:t>
      </w:r>
    </w:p>
    <w:p w:rsidR="0006075B" w:rsidRDefault="002F3A23">
      <w:pPr>
        <w:spacing w:before="120" w:after="120"/>
        <w:rPr>
          <w:sz w:val="20"/>
        </w:rPr>
      </w:pPr>
      <w:r>
        <w:rPr>
          <w:rFonts w:hint="eastAsia"/>
          <w:sz w:val="20"/>
        </w:rPr>
        <w:t>For simultaneous DU-Tx/MT-Tx at IAB node, if MT Tx on backhaul link and DU Tx on access link operate simultaneously and share the same power amplifier, power sharing/coordination between the two links needs to be studied in order to ensure Tx power balance and keep the total Tx power not higher than the maximum allowed Tx power at IAB node. Therefore, IAB node needs to consider UL power control parameters of IAB-MT from parent node for determining DL power control parameter of IAB-DU.</w:t>
      </w:r>
    </w:p>
    <w:p w:rsidR="0006075B" w:rsidRDefault="002F3A23">
      <w:pPr>
        <w:spacing w:before="120" w:after="120"/>
        <w:rPr>
          <w:b/>
          <w:i/>
          <w:sz w:val="20"/>
          <w:u w:val="single"/>
        </w:rPr>
      </w:pPr>
      <w:r>
        <w:rPr>
          <w:rFonts w:hint="eastAsia"/>
          <w:b/>
          <w:i/>
          <w:sz w:val="20"/>
          <w:u w:val="single"/>
        </w:rPr>
        <w:t>UL p</w:t>
      </w:r>
      <w:r>
        <w:rPr>
          <w:b/>
          <w:i/>
          <w:sz w:val="20"/>
          <w:u w:val="single"/>
        </w:rPr>
        <w:t xml:space="preserve">ower </w:t>
      </w:r>
      <w:r>
        <w:rPr>
          <w:rFonts w:hint="eastAsia"/>
          <w:b/>
          <w:i/>
          <w:sz w:val="20"/>
          <w:u w:val="single"/>
        </w:rPr>
        <w:t>control for child-MT</w:t>
      </w:r>
    </w:p>
    <w:p w:rsidR="0006075B" w:rsidRDefault="002F3A23">
      <w:pPr>
        <w:spacing w:before="120" w:after="120"/>
        <w:rPr>
          <w:sz w:val="20"/>
        </w:rPr>
      </w:pPr>
      <w:r>
        <w:rPr>
          <w:rFonts w:hint="eastAsia"/>
          <w:sz w:val="20"/>
        </w:rPr>
        <w:t>UL power control mechanism of NR access UEs can be used as a starting point of UL power control of MTs to minimize the impact on specification.</w:t>
      </w:r>
    </w:p>
    <w:p w:rsidR="0006075B" w:rsidRDefault="002F3A23">
      <w:pPr>
        <w:spacing w:before="120" w:after="120"/>
        <w:rPr>
          <w:sz w:val="20"/>
        </w:rPr>
      </w:pPr>
      <w:r>
        <w:rPr>
          <w:b/>
          <w:bCs/>
          <w:i/>
          <w:iCs/>
          <w:sz w:val="20"/>
        </w:rPr>
        <w:t xml:space="preserve">Proposal </w:t>
      </w:r>
      <w:r>
        <w:rPr>
          <w:rFonts w:hint="eastAsia"/>
          <w:b/>
          <w:bCs/>
          <w:i/>
          <w:iCs/>
          <w:sz w:val="20"/>
        </w:rPr>
        <w:t>7</w:t>
      </w:r>
      <w:r>
        <w:rPr>
          <w:b/>
          <w:bCs/>
          <w:i/>
          <w:iCs/>
          <w:sz w:val="20"/>
        </w:rPr>
        <w:t>:</w:t>
      </w:r>
      <w:r>
        <w:rPr>
          <w:rFonts w:hint="eastAsia"/>
          <w:b/>
          <w:bCs/>
          <w:i/>
          <w:iCs/>
          <w:sz w:val="20"/>
        </w:rPr>
        <w:t xml:space="preserve"> UL power control mechanism of NR access UEs can be used as a starting point of UL power control mechanism for MTs to minimize the impact on specification.</w:t>
      </w:r>
    </w:p>
    <w:p w:rsidR="0006075B" w:rsidRDefault="002F3A23">
      <w:pPr>
        <w:spacing w:before="120" w:after="120"/>
        <w:rPr>
          <w:sz w:val="20"/>
        </w:rPr>
      </w:pPr>
      <w:r>
        <w:rPr>
          <w:rFonts w:hint="eastAsia"/>
          <w:sz w:val="20"/>
        </w:rPr>
        <w:t>For simultaneous DU-Tx/MT-Tx at child node, power sharing/coordination needs to be studied in order to ensure Tx power balance and total Tx power not higher than the maximum allowed Tx power. In this case, the maximum allowed Tx power for child-MT equals to the maximum allowed Tx power of child node minus reserved DL Tx power for child-DU. While parent link and child link of child node are multiplexing in TDM manner, the maximum allowed Tx power for child-MT can equal to the maximum allowed Tx power of child node to make full use of power resources. Therefore, for different multiplexing scenarios or time resources child node may have different maximum allowed Tx power to IAB node. For simultaneous DU-Rx/MT-Rx at IAB node, IAB node can estimate DL Rx power of IAB-MT according to DL power control parameters of parent-DU and control UL Tx power of child-MT in order to ensure Rx power balance.</w:t>
      </w:r>
    </w:p>
    <w:p w:rsidR="0006075B" w:rsidRDefault="002F3A23">
      <w:pPr>
        <w:spacing w:before="120" w:after="120"/>
        <w:rPr>
          <w:sz w:val="20"/>
        </w:rPr>
      </w:pPr>
      <w:r>
        <w:rPr>
          <w:b/>
          <w:bCs/>
          <w:i/>
          <w:iCs/>
          <w:sz w:val="20"/>
        </w:rPr>
        <w:t xml:space="preserve">Proposal </w:t>
      </w:r>
      <w:r>
        <w:rPr>
          <w:rFonts w:hint="eastAsia"/>
          <w:b/>
          <w:bCs/>
          <w:i/>
          <w:iCs/>
          <w:sz w:val="20"/>
        </w:rPr>
        <w:t>8</w:t>
      </w:r>
      <w:r>
        <w:rPr>
          <w:b/>
          <w:bCs/>
          <w:i/>
          <w:iCs/>
          <w:sz w:val="20"/>
        </w:rPr>
        <w:t xml:space="preserve">: </w:t>
      </w:r>
      <w:r>
        <w:rPr>
          <w:rFonts w:hint="eastAsia"/>
          <w:b/>
          <w:bCs/>
          <w:i/>
          <w:iCs/>
          <w:sz w:val="20"/>
        </w:rPr>
        <w:t>For UL power control of child-MT, different maximum allowed Tx power can be indicated to IAB node for different multiplexing scenarios or time resources.</w:t>
      </w:r>
    </w:p>
    <w:p w:rsidR="0006075B" w:rsidRDefault="0006075B">
      <w:pPr>
        <w:spacing w:before="120" w:after="120"/>
        <w:rPr>
          <w:sz w:val="20"/>
        </w:rPr>
      </w:pPr>
    </w:p>
    <w:p w:rsidR="0006075B" w:rsidRDefault="002F3A23">
      <w:pPr>
        <w:pStyle w:val="2"/>
        <w:spacing w:before="120" w:after="120"/>
        <w:ind w:right="210"/>
        <w:rPr>
          <w:rFonts w:ascii="Arial" w:hAnsi="Arial" w:cs="Arial"/>
          <w:szCs w:val="22"/>
        </w:rPr>
      </w:pPr>
      <w:r>
        <w:rPr>
          <w:rFonts w:ascii="Arial" w:hAnsi="Arial" w:cs="Arial" w:hint="eastAsia"/>
        </w:rPr>
        <w:t xml:space="preserve">2.3 </w:t>
      </w:r>
      <w:r>
        <w:rPr>
          <w:rFonts w:ascii="Arial" w:hAnsi="Arial" w:cs="Arial"/>
          <w:szCs w:val="22"/>
        </w:rPr>
        <w:t>CLI and interference measurements for simultaneous operation</w:t>
      </w:r>
    </w:p>
    <w:p w:rsidR="0006075B" w:rsidRDefault="002F3A23">
      <w:pPr>
        <w:pStyle w:val="2"/>
        <w:spacing w:before="120" w:after="120"/>
        <w:ind w:right="210"/>
        <w:rPr>
          <w:sz w:val="20"/>
        </w:rPr>
      </w:pPr>
      <w:r>
        <w:rPr>
          <w:rFonts w:hint="eastAsia"/>
          <w:sz w:val="20"/>
        </w:rPr>
        <w:t xml:space="preserve">IAB node related CLI was identified but not fully discussed in Rel-16. </w:t>
      </w:r>
      <w:r>
        <w:rPr>
          <w:sz w:val="20"/>
        </w:rPr>
        <w:t>For the</w:t>
      </w:r>
      <w:r>
        <w:rPr>
          <w:rFonts w:hint="eastAsia"/>
          <w:sz w:val="20"/>
        </w:rPr>
        <w:t xml:space="preserve"> inter-IAB node CLI, t</w:t>
      </w:r>
      <w:r>
        <w:rPr>
          <w:sz w:val="20"/>
        </w:rPr>
        <w:t xml:space="preserve">here is no essential difference between </w:t>
      </w:r>
      <w:r>
        <w:rPr>
          <w:rFonts w:hint="eastAsia"/>
          <w:sz w:val="20"/>
        </w:rPr>
        <w:t>inter-IAB node CLI</w:t>
      </w:r>
      <w:r>
        <w:rPr>
          <w:sz w:val="20"/>
        </w:rPr>
        <w:t xml:space="preserve"> and </w:t>
      </w:r>
      <w:r>
        <w:rPr>
          <w:rFonts w:hint="eastAsia"/>
          <w:sz w:val="20"/>
        </w:rPr>
        <w:t xml:space="preserve">inter-gNB CLI in Rel-15, so the inter-IAB node CLI is expected to be handled by the CLI schemes introduced </w:t>
      </w:r>
      <w:r>
        <w:rPr>
          <w:sz w:val="20"/>
        </w:rPr>
        <w:t xml:space="preserve">so far </w:t>
      </w:r>
      <w:r>
        <w:rPr>
          <w:rFonts w:hint="eastAsia"/>
          <w:sz w:val="20"/>
        </w:rPr>
        <w:t xml:space="preserve">in </w:t>
      </w:r>
      <w:r>
        <w:rPr>
          <w:sz w:val="20"/>
        </w:rPr>
        <w:t>RAN1</w:t>
      </w:r>
      <w:r>
        <w:rPr>
          <w:rFonts w:hint="eastAsia"/>
          <w:sz w:val="20"/>
        </w:rPr>
        <w:t>.</w:t>
      </w:r>
    </w:p>
    <w:p w:rsidR="0006075B" w:rsidRDefault="002F3A23">
      <w:pPr>
        <w:spacing w:before="120" w:after="120"/>
        <w:rPr>
          <w:sz w:val="20"/>
        </w:rPr>
      </w:pPr>
      <w:r>
        <w:rPr>
          <w:sz w:val="20"/>
        </w:rPr>
        <w:t>I</w:t>
      </w:r>
      <w:r>
        <w:rPr>
          <w:rFonts w:hint="eastAsia"/>
          <w:sz w:val="20"/>
        </w:rPr>
        <w:t>n case of FDM/SDM reception between access and backhaul links at a given IAB-node</w:t>
      </w:r>
      <w:r>
        <w:rPr>
          <w:sz w:val="20"/>
        </w:rPr>
        <w:t xml:space="preserve">, </w:t>
      </w:r>
      <w:r>
        <w:rPr>
          <w:rFonts w:hint="eastAsia"/>
          <w:sz w:val="20"/>
        </w:rPr>
        <w:t>an IAB node receives from parent node and child node simultaneously</w:t>
      </w:r>
      <w:r>
        <w:rPr>
          <w:sz w:val="20"/>
        </w:rPr>
        <w:t>.</w:t>
      </w:r>
      <w:r>
        <w:rPr>
          <w:rFonts w:hint="eastAsia"/>
          <w:sz w:val="20"/>
        </w:rPr>
        <w:t xml:space="preserve"> </w:t>
      </w:r>
      <w:r>
        <w:rPr>
          <w:sz w:val="20"/>
        </w:rPr>
        <w:t xml:space="preserve">As shown in Figure 1, </w:t>
      </w:r>
      <w:r>
        <w:rPr>
          <w:rFonts w:hint="eastAsia"/>
          <w:sz w:val="20"/>
        </w:rPr>
        <w:t xml:space="preserve">the transmission from child node may interfere the reception </w:t>
      </w:r>
      <w:r>
        <w:rPr>
          <w:sz w:val="20"/>
        </w:rPr>
        <w:t xml:space="preserve">of signal sent </w:t>
      </w:r>
      <w:r>
        <w:rPr>
          <w:rFonts w:hint="eastAsia"/>
          <w:sz w:val="20"/>
        </w:rPr>
        <w:t xml:space="preserve">from parent node and vice versa if these two links are not orthogonal with each other. Beam coordination between IAB node and its parent node is needed to suppress or avoid interference. For example, if the IAB node can know </w:t>
      </w:r>
      <w:r>
        <w:rPr>
          <w:sz w:val="20"/>
        </w:rPr>
        <w:t xml:space="preserve">in advance </w:t>
      </w:r>
      <w:r>
        <w:rPr>
          <w:rFonts w:hint="eastAsia"/>
          <w:sz w:val="20"/>
        </w:rPr>
        <w:t xml:space="preserve">which beam will be used for </w:t>
      </w:r>
      <w:r>
        <w:rPr>
          <w:sz w:val="20"/>
        </w:rPr>
        <w:t xml:space="preserve">parent </w:t>
      </w:r>
      <w:r>
        <w:rPr>
          <w:rFonts w:hint="eastAsia"/>
          <w:sz w:val="20"/>
        </w:rPr>
        <w:t>DL via parent</w:t>
      </w:r>
      <w:r>
        <w:rPr>
          <w:sz w:val="20"/>
        </w:rPr>
        <w:t>’</w:t>
      </w:r>
      <w:r>
        <w:rPr>
          <w:rFonts w:hint="eastAsia"/>
          <w:sz w:val="20"/>
        </w:rPr>
        <w:t xml:space="preserve">s indication/configuration, the IAB node can determine the appropriate reception beam for </w:t>
      </w:r>
      <w:r>
        <w:rPr>
          <w:sz w:val="20"/>
        </w:rPr>
        <w:t>the child link</w:t>
      </w:r>
      <w:r>
        <w:rPr>
          <w:rFonts w:hint="eastAsia"/>
          <w:sz w:val="20"/>
        </w:rPr>
        <w:t xml:space="preserve"> so that these two link</w:t>
      </w:r>
      <w:r>
        <w:rPr>
          <w:sz w:val="20"/>
        </w:rPr>
        <w:t>s</w:t>
      </w:r>
      <w:r>
        <w:rPr>
          <w:rFonts w:hint="eastAsia"/>
          <w:sz w:val="20"/>
        </w:rPr>
        <w:t xml:space="preserve"> don</w:t>
      </w:r>
      <w:r>
        <w:rPr>
          <w:sz w:val="20"/>
        </w:rPr>
        <w:t>’</w:t>
      </w:r>
      <w:r>
        <w:rPr>
          <w:rFonts w:hint="eastAsia"/>
          <w:sz w:val="20"/>
        </w:rPr>
        <w:t>t interfere each other.</w:t>
      </w:r>
    </w:p>
    <w:p w:rsidR="0006075B" w:rsidRDefault="002F3A23">
      <w:pPr>
        <w:spacing w:before="120" w:after="120"/>
        <w:rPr>
          <w:sz w:val="20"/>
        </w:rPr>
      </w:pPr>
      <w:r>
        <w:rPr>
          <w:rFonts w:hint="eastAsia"/>
          <w:sz w:val="20"/>
        </w:rPr>
        <w:t>TCI is introduced in Rel-15 for UE's Rx beam indication</w:t>
      </w:r>
      <w:r>
        <w:rPr>
          <w:sz w:val="20"/>
        </w:rPr>
        <w:t>, which can be used to allow the IAB node to know the beam used on backhaul downlink (Link 1 in Figure 1).</w:t>
      </w:r>
      <w:r>
        <w:rPr>
          <w:rFonts w:hint="eastAsia"/>
          <w:sz w:val="20"/>
        </w:rPr>
        <w:t xml:space="preserve"> </w:t>
      </w:r>
      <w:r>
        <w:rPr>
          <w:sz w:val="20"/>
        </w:rPr>
        <w:t>T</w:t>
      </w:r>
      <w:r>
        <w:rPr>
          <w:rFonts w:hint="eastAsia"/>
          <w:sz w:val="20"/>
        </w:rPr>
        <w:t>he scheme of TCI can be a starting point for CLI coordination in IAB simultaneous reception scenario.</w:t>
      </w:r>
    </w:p>
    <w:p w:rsidR="007761FD" w:rsidRDefault="007761FD">
      <w:pPr>
        <w:spacing w:before="120" w:after="120"/>
        <w:rPr>
          <w:sz w:val="20"/>
        </w:rPr>
      </w:pPr>
    </w:p>
    <w:p w:rsidR="0006075B" w:rsidRDefault="00B27ADE">
      <w:pPr>
        <w:spacing w:before="120" w:after="120"/>
        <w:jc w:val="left"/>
        <w:rPr>
          <w:sz w:val="20"/>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41pt;margin-top:.15pt;width:200.35pt;height:218pt;z-index:251659264;mso-wrap-distance-left:9pt;mso-wrap-distance-top:0;mso-wrap-distance-right:9pt;mso-wrap-distance-bottom:0;mso-width-relative:page;mso-height-relative:page">
            <v:imagedata r:id="rId9" o:title=""/>
            <w10:wrap type="square" side="right"/>
          </v:shape>
          <o:OLEObject Type="Embed" ProgID="Visio.Drawing.11" ShapeID="_x0000_s1028" DrawAspect="Content" ObjectID="_1664970338" r:id="rId10"/>
        </w:object>
      </w:r>
      <w:r w:rsidR="002F3A23">
        <w:rPr>
          <w:sz w:val="20"/>
        </w:rPr>
        <w:br w:type="textWrapping" w:clear="all"/>
      </w:r>
    </w:p>
    <w:p w:rsidR="0006075B" w:rsidRDefault="002F3A23">
      <w:pPr>
        <w:spacing w:before="120" w:after="120"/>
        <w:jc w:val="center"/>
        <w:rPr>
          <w:sz w:val="20"/>
        </w:rPr>
      </w:pPr>
      <w:r>
        <w:rPr>
          <w:rFonts w:hint="eastAsia"/>
          <w:sz w:val="20"/>
        </w:rPr>
        <w:t>Figure 1</w:t>
      </w:r>
      <w:r>
        <w:rPr>
          <w:sz w:val="20"/>
        </w:rPr>
        <w:t xml:space="preserve"> Intra-IAB CLI </w:t>
      </w:r>
      <w:r>
        <w:rPr>
          <w:rFonts w:hint="eastAsia"/>
          <w:sz w:val="20"/>
        </w:rPr>
        <w:t>for multiplexing Case B</w:t>
      </w:r>
    </w:p>
    <w:p w:rsidR="0006075B" w:rsidRDefault="002F3A23">
      <w:pPr>
        <w:spacing w:before="120" w:after="120"/>
        <w:rPr>
          <w:b/>
          <w:bCs/>
          <w:i/>
          <w:iCs/>
          <w:sz w:val="20"/>
        </w:rPr>
      </w:pPr>
      <w:r>
        <w:rPr>
          <w:rFonts w:hint="eastAsia"/>
          <w:b/>
          <w:bCs/>
          <w:i/>
          <w:iCs/>
          <w:sz w:val="20"/>
        </w:rPr>
        <w:t xml:space="preserve">Proposal 9: </w:t>
      </w:r>
      <w:r>
        <w:rPr>
          <w:b/>
          <w:bCs/>
          <w:i/>
          <w:iCs/>
          <w:sz w:val="20"/>
        </w:rPr>
        <w:t>T</w:t>
      </w:r>
      <w:r>
        <w:rPr>
          <w:rFonts w:hint="eastAsia"/>
          <w:b/>
          <w:bCs/>
          <w:i/>
          <w:iCs/>
          <w:sz w:val="20"/>
        </w:rPr>
        <w:t xml:space="preserve">he </w:t>
      </w:r>
      <w:r>
        <w:rPr>
          <w:b/>
          <w:bCs/>
          <w:i/>
          <w:iCs/>
          <w:sz w:val="20"/>
        </w:rPr>
        <w:t xml:space="preserve">existing </w:t>
      </w:r>
      <w:r>
        <w:rPr>
          <w:rFonts w:hint="eastAsia"/>
          <w:b/>
          <w:bCs/>
          <w:i/>
          <w:iCs/>
          <w:sz w:val="20"/>
        </w:rPr>
        <w:t xml:space="preserve">TCI </w:t>
      </w:r>
      <w:r>
        <w:rPr>
          <w:b/>
          <w:bCs/>
          <w:i/>
          <w:iCs/>
          <w:sz w:val="20"/>
        </w:rPr>
        <w:t xml:space="preserve">scheme </w:t>
      </w:r>
      <w:r>
        <w:rPr>
          <w:rFonts w:hint="eastAsia"/>
          <w:b/>
          <w:bCs/>
          <w:i/>
          <w:iCs/>
          <w:sz w:val="20"/>
        </w:rPr>
        <w:t>can be a starting point</w:t>
      </w:r>
      <w:r>
        <w:rPr>
          <w:b/>
          <w:bCs/>
          <w:i/>
          <w:iCs/>
          <w:sz w:val="20"/>
        </w:rPr>
        <w:t xml:space="preserve"> in support of CLI mitigation</w:t>
      </w:r>
      <w:r>
        <w:rPr>
          <w:rFonts w:hint="eastAsia"/>
          <w:b/>
          <w:bCs/>
          <w:i/>
          <w:iCs/>
          <w:sz w:val="20"/>
        </w:rPr>
        <w:t xml:space="preserve"> for multiplexing Case B.</w:t>
      </w:r>
    </w:p>
    <w:p w:rsidR="0006075B" w:rsidRDefault="002F3A23">
      <w:pPr>
        <w:spacing w:before="120" w:after="120"/>
        <w:rPr>
          <w:sz w:val="20"/>
        </w:rPr>
      </w:pPr>
      <w:r>
        <w:rPr>
          <w:sz w:val="20"/>
        </w:rPr>
        <w:t>I</w:t>
      </w:r>
      <w:r>
        <w:rPr>
          <w:rFonts w:hint="eastAsia"/>
          <w:sz w:val="20"/>
        </w:rPr>
        <w:t>n case of FDM/SDM transmission between access and backhaul links at a given IAB-node</w:t>
      </w:r>
      <w:r>
        <w:rPr>
          <w:sz w:val="20"/>
        </w:rPr>
        <w:t xml:space="preserve">, </w:t>
      </w:r>
      <w:r>
        <w:rPr>
          <w:rFonts w:hint="eastAsia"/>
          <w:sz w:val="20"/>
        </w:rPr>
        <w:t>an IAB node transmits to parent node and child node simultaneously</w:t>
      </w:r>
      <w:r>
        <w:rPr>
          <w:sz w:val="20"/>
        </w:rPr>
        <w:t>.</w:t>
      </w:r>
      <w:r>
        <w:rPr>
          <w:rFonts w:hint="eastAsia"/>
          <w:sz w:val="20"/>
        </w:rPr>
        <w:t xml:space="preserve"> </w:t>
      </w:r>
      <w:r>
        <w:rPr>
          <w:sz w:val="20"/>
        </w:rPr>
        <w:t xml:space="preserve">As shown in Figure </w:t>
      </w:r>
      <w:r>
        <w:rPr>
          <w:rFonts w:hint="eastAsia"/>
          <w:sz w:val="20"/>
        </w:rPr>
        <w:t>2</w:t>
      </w:r>
      <w:r>
        <w:rPr>
          <w:sz w:val="20"/>
        </w:rPr>
        <w:t xml:space="preserve">, </w:t>
      </w:r>
      <w:r>
        <w:rPr>
          <w:rFonts w:hint="eastAsia"/>
          <w:sz w:val="20"/>
        </w:rPr>
        <w:t xml:space="preserve">the transmission for child node may interfere the reception </w:t>
      </w:r>
      <w:r>
        <w:rPr>
          <w:sz w:val="20"/>
        </w:rPr>
        <w:t xml:space="preserve">of </w:t>
      </w:r>
      <w:r>
        <w:rPr>
          <w:rFonts w:hint="eastAsia"/>
          <w:sz w:val="20"/>
        </w:rPr>
        <w:t xml:space="preserve">parent node and vice versa if these two links are not orthogonal with each other. Beam coordination for IAB node and its parent node is needed to suppress or avoid interference. For example, if the IAB node can know </w:t>
      </w:r>
      <w:r>
        <w:rPr>
          <w:sz w:val="20"/>
        </w:rPr>
        <w:t xml:space="preserve">in advance </w:t>
      </w:r>
      <w:r>
        <w:rPr>
          <w:rFonts w:hint="eastAsia"/>
          <w:sz w:val="20"/>
        </w:rPr>
        <w:t>which beam will be used for its MT</w:t>
      </w:r>
      <w:r>
        <w:rPr>
          <w:sz w:val="20"/>
        </w:rPr>
        <w:t xml:space="preserve"> </w:t>
      </w:r>
      <w:r>
        <w:rPr>
          <w:rFonts w:hint="eastAsia"/>
          <w:sz w:val="20"/>
        </w:rPr>
        <w:t>UL transmission via parent</w:t>
      </w:r>
      <w:r>
        <w:rPr>
          <w:sz w:val="20"/>
        </w:rPr>
        <w:t>’</w:t>
      </w:r>
      <w:r>
        <w:rPr>
          <w:rFonts w:hint="eastAsia"/>
          <w:sz w:val="20"/>
        </w:rPr>
        <w:t>s indication/configuration, the IAB node can determine the appropriate transmission beam for</w:t>
      </w:r>
      <w:r>
        <w:rPr>
          <w:sz w:val="20"/>
        </w:rPr>
        <w:t xml:space="preserve"> the child link</w:t>
      </w:r>
      <w:r>
        <w:rPr>
          <w:rFonts w:hint="eastAsia"/>
          <w:sz w:val="20"/>
        </w:rPr>
        <w:t xml:space="preserve"> so that these two link</w:t>
      </w:r>
      <w:r>
        <w:rPr>
          <w:sz w:val="20"/>
        </w:rPr>
        <w:t>s</w:t>
      </w:r>
      <w:r>
        <w:rPr>
          <w:rFonts w:hint="eastAsia"/>
          <w:sz w:val="20"/>
        </w:rPr>
        <w:t xml:space="preserve"> don</w:t>
      </w:r>
      <w:r>
        <w:rPr>
          <w:sz w:val="20"/>
        </w:rPr>
        <w:t>’</w:t>
      </w:r>
      <w:r>
        <w:rPr>
          <w:rFonts w:hint="eastAsia"/>
          <w:sz w:val="20"/>
        </w:rPr>
        <w:t>t interfere each other.</w:t>
      </w:r>
    </w:p>
    <w:p w:rsidR="0006075B" w:rsidRDefault="002F3A23">
      <w:pPr>
        <w:spacing w:before="120" w:after="120"/>
        <w:rPr>
          <w:sz w:val="20"/>
        </w:rPr>
      </w:pPr>
      <w:r>
        <w:rPr>
          <w:rFonts w:hint="eastAsia"/>
          <w:sz w:val="20"/>
        </w:rPr>
        <w:t>SRI is introduced in Rel-15 for UE's Tx beam indication</w:t>
      </w:r>
      <w:r>
        <w:rPr>
          <w:sz w:val="20"/>
        </w:rPr>
        <w:t xml:space="preserve">, which can be used to allow the IAB node to know the beam used on backhaul </w:t>
      </w:r>
      <w:r>
        <w:rPr>
          <w:rFonts w:hint="eastAsia"/>
          <w:sz w:val="20"/>
        </w:rPr>
        <w:t>up</w:t>
      </w:r>
      <w:r>
        <w:rPr>
          <w:sz w:val="20"/>
        </w:rPr>
        <w:t xml:space="preserve">link (Link 1 in Figure </w:t>
      </w:r>
      <w:r>
        <w:rPr>
          <w:rFonts w:hint="eastAsia"/>
          <w:sz w:val="20"/>
        </w:rPr>
        <w:t>2</w:t>
      </w:r>
      <w:r>
        <w:rPr>
          <w:sz w:val="20"/>
        </w:rPr>
        <w:t>).</w:t>
      </w:r>
      <w:r>
        <w:rPr>
          <w:rFonts w:hint="eastAsia"/>
          <w:sz w:val="20"/>
        </w:rPr>
        <w:t xml:space="preserve"> </w:t>
      </w:r>
      <w:r>
        <w:rPr>
          <w:sz w:val="20"/>
        </w:rPr>
        <w:t>T</w:t>
      </w:r>
      <w:r>
        <w:rPr>
          <w:rFonts w:hint="eastAsia"/>
          <w:sz w:val="20"/>
        </w:rPr>
        <w:t>he scheme of SRI can be a starting point for CLI coordination in IAB simultaneous transmission scenario.</w:t>
      </w:r>
    </w:p>
    <w:p w:rsidR="0006075B" w:rsidRDefault="002F3A23">
      <w:pPr>
        <w:spacing w:before="120" w:after="120"/>
        <w:jc w:val="center"/>
      </w:pPr>
      <w:r>
        <w:object w:dxaOrig="4608" w:dyaOrig="5023">
          <v:shape id="_x0000_i1026" type="#_x0000_t75" style="width:230.25pt;height:251.25pt" o:ole="">
            <v:imagedata r:id="rId11" o:title=""/>
          </v:shape>
          <o:OLEObject Type="Embed" ProgID="Visio.Drawing.11" ShapeID="_x0000_i1026" DrawAspect="Content" ObjectID="_1664970337" r:id="rId12"/>
        </w:object>
      </w:r>
    </w:p>
    <w:p w:rsidR="0006075B" w:rsidRDefault="002F3A23">
      <w:pPr>
        <w:spacing w:before="120" w:after="120"/>
        <w:jc w:val="center"/>
        <w:rPr>
          <w:sz w:val="20"/>
        </w:rPr>
      </w:pPr>
      <w:r>
        <w:rPr>
          <w:rFonts w:hint="eastAsia"/>
          <w:sz w:val="20"/>
        </w:rPr>
        <w:t>Figure 2</w:t>
      </w:r>
      <w:r>
        <w:rPr>
          <w:sz w:val="20"/>
        </w:rPr>
        <w:t xml:space="preserve"> Intra-IAB CLI </w:t>
      </w:r>
      <w:r>
        <w:rPr>
          <w:rFonts w:hint="eastAsia"/>
          <w:sz w:val="20"/>
        </w:rPr>
        <w:t>for multiplexing Case A</w:t>
      </w:r>
    </w:p>
    <w:p w:rsidR="0006075B" w:rsidRDefault="002F3A23">
      <w:pPr>
        <w:adjustRightInd w:val="0"/>
        <w:snapToGrid w:val="0"/>
        <w:spacing w:beforeLines="0" w:afterLines="0" w:after="0" w:line="240" w:lineRule="auto"/>
      </w:pPr>
      <w:r>
        <w:rPr>
          <w:rFonts w:hint="eastAsia"/>
          <w:b/>
          <w:bCs/>
          <w:i/>
          <w:iCs/>
          <w:sz w:val="20"/>
        </w:rPr>
        <w:t xml:space="preserve">Proposal 10: </w:t>
      </w:r>
      <w:r>
        <w:rPr>
          <w:b/>
          <w:bCs/>
          <w:i/>
          <w:iCs/>
          <w:sz w:val="20"/>
        </w:rPr>
        <w:t>T</w:t>
      </w:r>
      <w:r>
        <w:rPr>
          <w:rFonts w:hint="eastAsia"/>
          <w:b/>
          <w:bCs/>
          <w:i/>
          <w:iCs/>
          <w:sz w:val="20"/>
        </w:rPr>
        <w:t xml:space="preserve">he </w:t>
      </w:r>
      <w:r>
        <w:rPr>
          <w:b/>
          <w:bCs/>
          <w:i/>
          <w:iCs/>
          <w:sz w:val="20"/>
        </w:rPr>
        <w:t xml:space="preserve">existing </w:t>
      </w:r>
      <w:r>
        <w:rPr>
          <w:rFonts w:hint="eastAsia"/>
          <w:b/>
          <w:bCs/>
          <w:i/>
          <w:iCs/>
          <w:sz w:val="20"/>
        </w:rPr>
        <w:t xml:space="preserve">SRI </w:t>
      </w:r>
      <w:r>
        <w:rPr>
          <w:b/>
          <w:bCs/>
          <w:i/>
          <w:iCs/>
          <w:sz w:val="20"/>
        </w:rPr>
        <w:t xml:space="preserve">scheme </w:t>
      </w:r>
      <w:r>
        <w:rPr>
          <w:rFonts w:hint="eastAsia"/>
          <w:b/>
          <w:bCs/>
          <w:i/>
          <w:iCs/>
          <w:sz w:val="20"/>
        </w:rPr>
        <w:t>can be a starting point</w:t>
      </w:r>
      <w:r>
        <w:rPr>
          <w:b/>
          <w:bCs/>
          <w:i/>
          <w:iCs/>
          <w:sz w:val="20"/>
        </w:rPr>
        <w:t xml:space="preserve"> in support of CLI mitigation</w:t>
      </w:r>
      <w:r>
        <w:rPr>
          <w:rFonts w:hint="eastAsia"/>
          <w:b/>
          <w:bCs/>
          <w:i/>
          <w:iCs/>
          <w:sz w:val="20"/>
        </w:rPr>
        <w:t xml:space="preserve"> for multiplexing Case A.</w:t>
      </w:r>
    </w:p>
    <w:p w:rsidR="0006075B" w:rsidRDefault="002F3A23">
      <w:pPr>
        <w:pStyle w:val="1"/>
        <w:spacing w:before="120" w:after="120"/>
        <w:ind w:left="0"/>
        <w:rPr>
          <w:rFonts w:eastAsia="宋体"/>
        </w:rPr>
      </w:pPr>
      <w:r>
        <w:rPr>
          <w:rFonts w:eastAsia="宋体" w:hint="eastAsia"/>
        </w:rPr>
        <w:t>Conclusion</w:t>
      </w:r>
    </w:p>
    <w:p w:rsidR="0006075B" w:rsidRDefault="002F3A23">
      <w:pPr>
        <w:tabs>
          <w:tab w:val="left" w:pos="2520"/>
        </w:tabs>
        <w:spacing w:before="120" w:after="120"/>
        <w:rPr>
          <w:sz w:val="20"/>
        </w:rPr>
      </w:pPr>
      <w:r>
        <w:rPr>
          <w:rFonts w:hint="eastAsia"/>
          <w:sz w:val="20"/>
        </w:rPr>
        <w:t>According to the discussion above, we provide the following observations and proposal</w:t>
      </w:r>
      <w:r>
        <w:rPr>
          <w:sz w:val="20"/>
        </w:rPr>
        <w:t>s</w:t>
      </w:r>
      <w:r>
        <w:rPr>
          <w:rFonts w:hint="eastAsia"/>
          <w:sz w:val="20"/>
        </w:rPr>
        <w:t>:</w:t>
      </w:r>
    </w:p>
    <w:p w:rsidR="0006075B" w:rsidRDefault="002F3A23">
      <w:pPr>
        <w:spacing w:before="120" w:after="120"/>
        <w:rPr>
          <w:b/>
          <w:bCs/>
          <w:i/>
          <w:iCs/>
          <w:sz w:val="20"/>
        </w:rPr>
      </w:pPr>
      <w:r>
        <w:rPr>
          <w:b/>
          <w:bCs/>
          <w:i/>
          <w:iCs/>
          <w:sz w:val="20"/>
        </w:rPr>
        <w:t xml:space="preserve">Proposal 1: </w:t>
      </w:r>
      <w:r>
        <w:rPr>
          <w:rFonts w:hint="eastAsia"/>
          <w:b/>
          <w:bCs/>
          <w:i/>
          <w:iCs/>
          <w:sz w:val="20"/>
        </w:rPr>
        <w:t xml:space="preserve">Parent node can indicate which timing between case-1 timing and case-6 timing is used for UL transmission at a particular slot to its child node. </w:t>
      </w:r>
    </w:p>
    <w:p w:rsidR="0006075B" w:rsidRDefault="002F3A23">
      <w:pPr>
        <w:spacing w:before="120" w:after="120"/>
        <w:rPr>
          <w:b/>
          <w:bCs/>
          <w:i/>
          <w:iCs/>
          <w:sz w:val="20"/>
        </w:rPr>
      </w:pPr>
      <w:r>
        <w:rPr>
          <w:b/>
          <w:bCs/>
          <w:i/>
          <w:iCs/>
          <w:sz w:val="20"/>
        </w:rPr>
        <w:t xml:space="preserve">Proposal 2: </w:t>
      </w:r>
      <w:r>
        <w:rPr>
          <w:rFonts w:hint="eastAsia"/>
          <w:b/>
          <w:bCs/>
          <w:i/>
          <w:iCs/>
          <w:sz w:val="20"/>
        </w:rPr>
        <w:t xml:space="preserve">UL-Tx timing of </w:t>
      </w:r>
      <w:r>
        <w:rPr>
          <w:b/>
          <w:bCs/>
          <w:i/>
          <w:iCs/>
          <w:sz w:val="20"/>
        </w:rPr>
        <w:t>case-6 timing</w:t>
      </w:r>
      <w:r>
        <w:rPr>
          <w:rFonts w:hint="eastAsia"/>
          <w:b/>
          <w:bCs/>
          <w:i/>
          <w:iCs/>
          <w:sz w:val="20"/>
        </w:rPr>
        <w:t xml:space="preserve"> should be further studied by RAN4.</w:t>
      </w:r>
      <w:r>
        <w:rPr>
          <w:b/>
          <w:bCs/>
          <w:i/>
          <w:iCs/>
          <w:sz w:val="20"/>
        </w:rPr>
        <w:t xml:space="preserve"> </w:t>
      </w:r>
    </w:p>
    <w:p w:rsidR="0006075B" w:rsidRDefault="002F3A23">
      <w:pPr>
        <w:spacing w:before="120" w:after="120"/>
        <w:rPr>
          <w:b/>
          <w:bCs/>
          <w:i/>
          <w:iCs/>
          <w:sz w:val="20"/>
        </w:rPr>
      </w:pPr>
      <w:r>
        <w:rPr>
          <w:b/>
          <w:bCs/>
          <w:i/>
          <w:iCs/>
          <w:sz w:val="20"/>
        </w:rPr>
        <w:t xml:space="preserve">Proposal 3: Symbol level alignment between IAB node’s UL-Rx timing and DL-Rx timing </w:t>
      </w:r>
      <w:r>
        <w:rPr>
          <w:rFonts w:hint="eastAsia"/>
          <w:b/>
          <w:bCs/>
          <w:i/>
          <w:iCs/>
          <w:sz w:val="20"/>
        </w:rPr>
        <w:t xml:space="preserve">should </w:t>
      </w:r>
      <w:r>
        <w:rPr>
          <w:b/>
          <w:bCs/>
          <w:i/>
          <w:iCs/>
          <w:sz w:val="20"/>
        </w:rPr>
        <w:t xml:space="preserve">be </w:t>
      </w:r>
      <w:r>
        <w:rPr>
          <w:rFonts w:hint="eastAsia"/>
          <w:b/>
          <w:bCs/>
          <w:i/>
          <w:iCs/>
          <w:sz w:val="20"/>
        </w:rPr>
        <w:t xml:space="preserve">supported </w:t>
      </w:r>
      <w:r>
        <w:rPr>
          <w:b/>
          <w:bCs/>
          <w:i/>
          <w:iCs/>
          <w:sz w:val="20"/>
        </w:rPr>
        <w:t>as a solution to resolve potential negative TA issue of case-7 timing.</w:t>
      </w:r>
    </w:p>
    <w:p w:rsidR="0006075B" w:rsidRDefault="002F3A23">
      <w:pPr>
        <w:numPr>
          <w:ilvl w:val="255"/>
          <w:numId w:val="0"/>
        </w:numPr>
        <w:spacing w:before="120" w:after="120"/>
        <w:rPr>
          <w:sz w:val="20"/>
        </w:rPr>
      </w:pPr>
      <w:r>
        <w:rPr>
          <w:b/>
          <w:bCs/>
          <w:i/>
          <w:iCs/>
          <w:sz w:val="20"/>
        </w:rPr>
        <w:t xml:space="preserve">Proposal </w:t>
      </w:r>
      <w:r>
        <w:rPr>
          <w:rFonts w:hint="eastAsia"/>
          <w:b/>
          <w:bCs/>
          <w:i/>
          <w:iCs/>
          <w:sz w:val="20"/>
        </w:rPr>
        <w:t>4</w:t>
      </w:r>
      <w:r>
        <w:rPr>
          <w:b/>
          <w:bCs/>
          <w:i/>
          <w:iCs/>
          <w:sz w:val="20"/>
        </w:rPr>
        <w:t xml:space="preserve">: </w:t>
      </w:r>
      <w:r>
        <w:rPr>
          <w:rFonts w:hint="eastAsia"/>
          <w:b/>
          <w:bCs/>
          <w:i/>
          <w:iCs/>
          <w:sz w:val="20"/>
        </w:rPr>
        <w:t>S</w:t>
      </w:r>
      <w:r>
        <w:rPr>
          <w:b/>
          <w:bCs/>
          <w:i/>
          <w:iCs/>
          <w:sz w:val="20"/>
        </w:rPr>
        <w:t xml:space="preserve">o-called “case-7 timing” </w:t>
      </w:r>
      <w:r>
        <w:rPr>
          <w:rFonts w:hint="eastAsia"/>
          <w:b/>
          <w:bCs/>
          <w:i/>
          <w:iCs/>
          <w:sz w:val="20"/>
        </w:rPr>
        <w:t xml:space="preserve">is not supported </w:t>
      </w:r>
      <w:r>
        <w:rPr>
          <w:b/>
          <w:bCs/>
          <w:i/>
          <w:iCs/>
          <w:sz w:val="20"/>
        </w:rPr>
        <w:t xml:space="preserve">for </w:t>
      </w:r>
      <w:r>
        <w:rPr>
          <w:rFonts w:hint="eastAsia"/>
          <w:b/>
          <w:bCs/>
          <w:i/>
          <w:iCs/>
          <w:sz w:val="20"/>
        </w:rPr>
        <w:t xml:space="preserve">multiplexing case D (i.e., </w:t>
      </w:r>
      <w:r>
        <w:rPr>
          <w:b/>
          <w:bCs/>
          <w:i/>
          <w:iCs/>
          <w:sz w:val="20"/>
        </w:rPr>
        <w:t>simultaneous MT-Tx/DU-Rx</w:t>
      </w:r>
      <w:r>
        <w:rPr>
          <w:rFonts w:hint="eastAsia"/>
          <w:b/>
          <w:bCs/>
          <w:i/>
          <w:iCs/>
          <w:sz w:val="20"/>
        </w:rPr>
        <w:t>).</w:t>
      </w:r>
    </w:p>
    <w:p w:rsidR="0006075B" w:rsidRDefault="002F3A23">
      <w:pPr>
        <w:spacing w:before="120" w:after="120"/>
      </w:pPr>
      <w:r>
        <w:rPr>
          <w:b/>
          <w:bCs/>
          <w:i/>
          <w:iCs/>
          <w:sz w:val="20"/>
        </w:rPr>
        <w:t xml:space="preserve">Proposal </w:t>
      </w:r>
      <w:r>
        <w:rPr>
          <w:rFonts w:hint="eastAsia"/>
          <w:b/>
          <w:bCs/>
          <w:i/>
          <w:iCs/>
          <w:sz w:val="20"/>
        </w:rPr>
        <w:t>5</w:t>
      </w:r>
      <w:r>
        <w:rPr>
          <w:b/>
          <w:bCs/>
          <w:i/>
          <w:iCs/>
          <w:sz w:val="20"/>
        </w:rPr>
        <w:t>:</w:t>
      </w:r>
      <w:r>
        <w:rPr>
          <w:rFonts w:hint="eastAsia"/>
          <w:b/>
          <w:bCs/>
          <w:i/>
          <w:iCs/>
          <w:sz w:val="20"/>
        </w:rPr>
        <w:t xml:space="preserve"> Beam depended DL power control of IAB-DU should be considered (e.g.</w:t>
      </w:r>
      <w:r w:rsidR="00B27ADE">
        <w:rPr>
          <w:b/>
          <w:bCs/>
          <w:i/>
          <w:iCs/>
          <w:sz w:val="20"/>
        </w:rPr>
        <w:t>,</w:t>
      </w:r>
      <w:r>
        <w:rPr>
          <w:rFonts w:hint="eastAsia"/>
          <w:b/>
          <w:bCs/>
          <w:i/>
          <w:iCs/>
          <w:sz w:val="20"/>
        </w:rPr>
        <w:t xml:space="preserve"> different PC parameters could be associated with different TCI states, or CSI-RSs).</w:t>
      </w:r>
    </w:p>
    <w:p w:rsidR="0006075B" w:rsidRDefault="002F3A23">
      <w:pPr>
        <w:spacing w:before="120" w:after="120"/>
        <w:rPr>
          <w:sz w:val="20"/>
        </w:rPr>
      </w:pPr>
      <w:r>
        <w:rPr>
          <w:b/>
          <w:bCs/>
          <w:i/>
          <w:iCs/>
          <w:sz w:val="20"/>
        </w:rPr>
        <w:t xml:space="preserve">Proposal </w:t>
      </w:r>
      <w:r>
        <w:rPr>
          <w:rFonts w:hint="eastAsia"/>
          <w:b/>
          <w:bCs/>
          <w:i/>
          <w:iCs/>
          <w:sz w:val="20"/>
        </w:rPr>
        <w:t>6</w:t>
      </w:r>
      <w:r>
        <w:rPr>
          <w:b/>
          <w:bCs/>
          <w:i/>
          <w:iCs/>
          <w:sz w:val="20"/>
        </w:rPr>
        <w:t>:</w:t>
      </w:r>
      <w:r>
        <w:rPr>
          <w:rFonts w:hint="eastAsia"/>
          <w:b/>
          <w:bCs/>
          <w:i/>
          <w:iCs/>
          <w:sz w:val="20"/>
        </w:rPr>
        <w:t xml:space="preserve"> Expected DL Rx power level or equivalent parameters could be indicated from child node to IAB node to assist the DL power control of IAB-DU.</w:t>
      </w:r>
    </w:p>
    <w:p w:rsidR="0006075B" w:rsidRDefault="002F3A23">
      <w:pPr>
        <w:spacing w:before="120" w:after="120"/>
        <w:rPr>
          <w:sz w:val="20"/>
        </w:rPr>
      </w:pPr>
      <w:r>
        <w:rPr>
          <w:b/>
          <w:bCs/>
          <w:i/>
          <w:iCs/>
          <w:sz w:val="20"/>
        </w:rPr>
        <w:t xml:space="preserve">Proposal </w:t>
      </w:r>
      <w:r>
        <w:rPr>
          <w:rFonts w:hint="eastAsia"/>
          <w:b/>
          <w:bCs/>
          <w:i/>
          <w:iCs/>
          <w:sz w:val="20"/>
        </w:rPr>
        <w:t>7</w:t>
      </w:r>
      <w:r>
        <w:rPr>
          <w:b/>
          <w:bCs/>
          <w:i/>
          <w:iCs/>
          <w:sz w:val="20"/>
        </w:rPr>
        <w:t>:</w:t>
      </w:r>
      <w:r>
        <w:rPr>
          <w:rFonts w:hint="eastAsia"/>
          <w:b/>
          <w:bCs/>
          <w:i/>
          <w:iCs/>
          <w:sz w:val="20"/>
        </w:rPr>
        <w:t xml:space="preserve"> UL power control mechanism of NR access UEs can be used as a starting point of UL power control mechanism for MTs to minimize the impact on specification.</w:t>
      </w:r>
    </w:p>
    <w:p w:rsidR="0006075B" w:rsidRDefault="002F3A23">
      <w:pPr>
        <w:spacing w:before="120" w:after="120"/>
        <w:rPr>
          <w:sz w:val="20"/>
        </w:rPr>
      </w:pPr>
      <w:r>
        <w:rPr>
          <w:b/>
          <w:bCs/>
          <w:i/>
          <w:iCs/>
          <w:sz w:val="20"/>
        </w:rPr>
        <w:t xml:space="preserve">Proposal </w:t>
      </w:r>
      <w:r>
        <w:rPr>
          <w:rFonts w:hint="eastAsia"/>
          <w:b/>
          <w:bCs/>
          <w:i/>
          <w:iCs/>
          <w:sz w:val="20"/>
        </w:rPr>
        <w:t>8</w:t>
      </w:r>
      <w:r>
        <w:rPr>
          <w:b/>
          <w:bCs/>
          <w:i/>
          <w:iCs/>
          <w:sz w:val="20"/>
        </w:rPr>
        <w:t xml:space="preserve">: </w:t>
      </w:r>
      <w:r>
        <w:rPr>
          <w:rFonts w:hint="eastAsia"/>
          <w:b/>
          <w:bCs/>
          <w:i/>
          <w:iCs/>
          <w:sz w:val="20"/>
        </w:rPr>
        <w:t>For UL power control of child-MT, different maximum allowed Tx power can be indicated to IAB node for different multiplexing scenarios or time resources.</w:t>
      </w:r>
    </w:p>
    <w:p w:rsidR="0006075B" w:rsidRDefault="002F3A23">
      <w:pPr>
        <w:spacing w:before="120" w:after="120"/>
        <w:rPr>
          <w:b/>
          <w:bCs/>
          <w:i/>
          <w:iCs/>
          <w:sz w:val="20"/>
        </w:rPr>
      </w:pPr>
      <w:r>
        <w:rPr>
          <w:rFonts w:hint="eastAsia"/>
          <w:b/>
          <w:bCs/>
          <w:i/>
          <w:iCs/>
          <w:sz w:val="20"/>
        </w:rPr>
        <w:t xml:space="preserve">Proposal 9: </w:t>
      </w:r>
      <w:r>
        <w:rPr>
          <w:b/>
          <w:bCs/>
          <w:i/>
          <w:iCs/>
          <w:sz w:val="20"/>
        </w:rPr>
        <w:t>T</w:t>
      </w:r>
      <w:r>
        <w:rPr>
          <w:rFonts w:hint="eastAsia"/>
          <w:b/>
          <w:bCs/>
          <w:i/>
          <w:iCs/>
          <w:sz w:val="20"/>
        </w:rPr>
        <w:t xml:space="preserve">he </w:t>
      </w:r>
      <w:r>
        <w:rPr>
          <w:b/>
          <w:bCs/>
          <w:i/>
          <w:iCs/>
          <w:sz w:val="20"/>
        </w:rPr>
        <w:t xml:space="preserve">existing </w:t>
      </w:r>
      <w:r>
        <w:rPr>
          <w:rFonts w:hint="eastAsia"/>
          <w:b/>
          <w:bCs/>
          <w:i/>
          <w:iCs/>
          <w:sz w:val="20"/>
        </w:rPr>
        <w:t xml:space="preserve">TCI </w:t>
      </w:r>
      <w:r>
        <w:rPr>
          <w:b/>
          <w:bCs/>
          <w:i/>
          <w:iCs/>
          <w:sz w:val="20"/>
        </w:rPr>
        <w:t xml:space="preserve">scheme </w:t>
      </w:r>
      <w:r>
        <w:rPr>
          <w:rFonts w:hint="eastAsia"/>
          <w:b/>
          <w:bCs/>
          <w:i/>
          <w:iCs/>
          <w:sz w:val="20"/>
        </w:rPr>
        <w:t>can be a starting point</w:t>
      </w:r>
      <w:r>
        <w:rPr>
          <w:b/>
          <w:bCs/>
          <w:i/>
          <w:iCs/>
          <w:sz w:val="20"/>
        </w:rPr>
        <w:t xml:space="preserve"> in support of CLI mitigation</w:t>
      </w:r>
      <w:r>
        <w:rPr>
          <w:rFonts w:hint="eastAsia"/>
          <w:b/>
          <w:bCs/>
          <w:i/>
          <w:iCs/>
          <w:sz w:val="20"/>
        </w:rPr>
        <w:t xml:space="preserve"> for multiplexing Case B.</w:t>
      </w:r>
      <w:bookmarkStart w:id="0" w:name="_GoBack"/>
      <w:bookmarkEnd w:id="0"/>
    </w:p>
    <w:p w:rsidR="0006075B" w:rsidRDefault="002F3A23">
      <w:pPr>
        <w:adjustRightInd w:val="0"/>
        <w:snapToGrid w:val="0"/>
        <w:spacing w:beforeLines="0" w:afterLines="0" w:after="0" w:line="240" w:lineRule="auto"/>
      </w:pPr>
      <w:r>
        <w:rPr>
          <w:rFonts w:hint="eastAsia"/>
          <w:b/>
          <w:bCs/>
          <w:i/>
          <w:iCs/>
          <w:sz w:val="20"/>
        </w:rPr>
        <w:t xml:space="preserve">Proposal 10: </w:t>
      </w:r>
      <w:r>
        <w:rPr>
          <w:b/>
          <w:bCs/>
          <w:i/>
          <w:iCs/>
          <w:sz w:val="20"/>
        </w:rPr>
        <w:t>T</w:t>
      </w:r>
      <w:r>
        <w:rPr>
          <w:rFonts w:hint="eastAsia"/>
          <w:b/>
          <w:bCs/>
          <w:i/>
          <w:iCs/>
          <w:sz w:val="20"/>
        </w:rPr>
        <w:t xml:space="preserve">he </w:t>
      </w:r>
      <w:r>
        <w:rPr>
          <w:b/>
          <w:bCs/>
          <w:i/>
          <w:iCs/>
          <w:sz w:val="20"/>
        </w:rPr>
        <w:t xml:space="preserve">existing </w:t>
      </w:r>
      <w:r>
        <w:rPr>
          <w:rFonts w:hint="eastAsia"/>
          <w:b/>
          <w:bCs/>
          <w:i/>
          <w:iCs/>
          <w:sz w:val="20"/>
        </w:rPr>
        <w:t xml:space="preserve">SRI </w:t>
      </w:r>
      <w:r>
        <w:rPr>
          <w:b/>
          <w:bCs/>
          <w:i/>
          <w:iCs/>
          <w:sz w:val="20"/>
        </w:rPr>
        <w:t xml:space="preserve">scheme </w:t>
      </w:r>
      <w:r>
        <w:rPr>
          <w:rFonts w:hint="eastAsia"/>
          <w:b/>
          <w:bCs/>
          <w:i/>
          <w:iCs/>
          <w:sz w:val="20"/>
        </w:rPr>
        <w:t>can be a starting point</w:t>
      </w:r>
      <w:r>
        <w:rPr>
          <w:b/>
          <w:bCs/>
          <w:i/>
          <w:iCs/>
          <w:sz w:val="20"/>
        </w:rPr>
        <w:t xml:space="preserve"> in support of CLI mitigation</w:t>
      </w:r>
      <w:r>
        <w:rPr>
          <w:rFonts w:hint="eastAsia"/>
          <w:b/>
          <w:bCs/>
          <w:i/>
          <w:iCs/>
          <w:sz w:val="20"/>
        </w:rPr>
        <w:t xml:space="preserve"> for multiplexing Case A.</w:t>
      </w:r>
    </w:p>
    <w:p w:rsidR="0006075B" w:rsidRDefault="0006075B">
      <w:pPr>
        <w:spacing w:before="120" w:after="120"/>
        <w:rPr>
          <w:b/>
          <w:bCs/>
          <w:i/>
          <w:iCs/>
          <w:sz w:val="20"/>
        </w:rPr>
      </w:pPr>
    </w:p>
    <w:p w:rsidR="0006075B" w:rsidRDefault="002F3A23">
      <w:pPr>
        <w:spacing w:before="120" w:after="120"/>
        <w:rPr>
          <w:b/>
          <w:bCs/>
          <w:i/>
          <w:iCs/>
          <w:sz w:val="20"/>
        </w:rPr>
      </w:pPr>
      <w:r>
        <w:rPr>
          <w:b/>
          <w:bCs/>
          <w:i/>
          <w:iCs/>
          <w:sz w:val="20"/>
        </w:rPr>
        <w:t xml:space="preserve">Observation 1: </w:t>
      </w:r>
      <w:r>
        <w:rPr>
          <w:rFonts w:hint="eastAsia"/>
          <w:b/>
          <w:bCs/>
          <w:i/>
          <w:iCs/>
          <w:sz w:val="20"/>
        </w:rPr>
        <w:t xml:space="preserve">In multiplexing </w:t>
      </w:r>
      <w:r>
        <w:rPr>
          <w:b/>
          <w:bCs/>
          <w:i/>
          <w:iCs/>
          <w:sz w:val="20"/>
        </w:rPr>
        <w:t xml:space="preserve">Case </w:t>
      </w:r>
      <w:r>
        <w:rPr>
          <w:rFonts w:hint="eastAsia"/>
          <w:b/>
          <w:bCs/>
          <w:i/>
          <w:iCs/>
          <w:sz w:val="20"/>
        </w:rPr>
        <w:t xml:space="preserve">A, TDM-based resource allocation among </w:t>
      </w:r>
      <w:r>
        <w:rPr>
          <w:b/>
          <w:bCs/>
          <w:i/>
          <w:iCs/>
          <w:sz w:val="20"/>
        </w:rPr>
        <w:t>access UEs</w:t>
      </w:r>
      <w:r>
        <w:rPr>
          <w:rFonts w:hint="eastAsia"/>
          <w:b/>
          <w:bCs/>
          <w:i/>
          <w:iCs/>
          <w:sz w:val="20"/>
        </w:rPr>
        <w:t xml:space="preserve"> and different child IAB nodes</w:t>
      </w:r>
      <w:r>
        <w:rPr>
          <w:b/>
          <w:bCs/>
          <w:i/>
          <w:iCs/>
          <w:sz w:val="20"/>
        </w:rPr>
        <w:t xml:space="preserve"> </w:t>
      </w:r>
      <w:r>
        <w:rPr>
          <w:rFonts w:hint="eastAsia"/>
          <w:b/>
          <w:bCs/>
          <w:i/>
          <w:iCs/>
          <w:sz w:val="20"/>
        </w:rPr>
        <w:t>should be applied to resolve</w:t>
      </w:r>
      <w:r>
        <w:rPr>
          <w:b/>
          <w:bCs/>
          <w:i/>
          <w:iCs/>
          <w:sz w:val="20"/>
        </w:rPr>
        <w:t xml:space="preserve"> the </w:t>
      </w:r>
      <w:r>
        <w:rPr>
          <w:rFonts w:hint="eastAsia"/>
          <w:b/>
          <w:bCs/>
          <w:i/>
          <w:iCs/>
          <w:sz w:val="20"/>
        </w:rPr>
        <w:t>UL Rx timing asynchronization issue</w:t>
      </w:r>
      <w:r>
        <w:rPr>
          <w:b/>
          <w:bCs/>
          <w:i/>
          <w:iCs/>
          <w:sz w:val="20"/>
        </w:rPr>
        <w:t xml:space="preserve"> </w:t>
      </w:r>
      <w:r>
        <w:rPr>
          <w:rFonts w:hint="eastAsia"/>
          <w:b/>
          <w:bCs/>
          <w:i/>
          <w:iCs/>
          <w:sz w:val="20"/>
        </w:rPr>
        <w:t>caused by case-6 timing alignment</w:t>
      </w:r>
      <w:r>
        <w:rPr>
          <w:b/>
          <w:bCs/>
          <w:i/>
          <w:iCs/>
          <w:sz w:val="20"/>
        </w:rPr>
        <w:t>.</w:t>
      </w:r>
    </w:p>
    <w:p w:rsidR="0006075B" w:rsidRDefault="002F3A23">
      <w:pPr>
        <w:spacing w:before="120" w:after="120"/>
        <w:rPr>
          <w:b/>
          <w:bCs/>
          <w:i/>
          <w:iCs/>
          <w:sz w:val="20"/>
        </w:rPr>
      </w:pPr>
      <w:r>
        <w:rPr>
          <w:b/>
          <w:bCs/>
          <w:i/>
          <w:iCs/>
          <w:sz w:val="20"/>
        </w:rPr>
        <w:t xml:space="preserve">Observation 2: </w:t>
      </w:r>
      <w:r>
        <w:rPr>
          <w:rFonts w:hint="eastAsia"/>
          <w:b/>
          <w:bCs/>
          <w:i/>
          <w:iCs/>
          <w:sz w:val="20"/>
        </w:rPr>
        <w:t>C</w:t>
      </w:r>
      <w:r>
        <w:rPr>
          <w:b/>
          <w:bCs/>
          <w:i/>
          <w:iCs/>
          <w:sz w:val="20"/>
        </w:rPr>
        <w:t>ase-6 timing will also seriously affect RAN4’s specification work.</w:t>
      </w:r>
    </w:p>
    <w:p w:rsidR="0006075B" w:rsidRDefault="002F3A23">
      <w:pPr>
        <w:spacing w:before="120" w:after="120"/>
        <w:rPr>
          <w:b/>
          <w:bCs/>
          <w:i/>
          <w:iCs/>
          <w:sz w:val="20"/>
        </w:rPr>
      </w:pPr>
      <w:r>
        <w:rPr>
          <w:b/>
          <w:bCs/>
          <w:i/>
          <w:iCs/>
          <w:sz w:val="20"/>
        </w:rPr>
        <w:t xml:space="preserve">Observation 3: </w:t>
      </w:r>
      <w:r>
        <w:rPr>
          <w:rFonts w:hint="eastAsia"/>
          <w:b/>
          <w:bCs/>
          <w:i/>
          <w:iCs/>
          <w:sz w:val="20"/>
        </w:rPr>
        <w:t>Slot level alignment</w:t>
      </w:r>
      <w:r>
        <w:rPr>
          <w:b/>
          <w:bCs/>
          <w:i/>
          <w:iCs/>
          <w:sz w:val="20"/>
        </w:rPr>
        <w:t xml:space="preserve"> </w:t>
      </w:r>
      <w:r>
        <w:rPr>
          <w:rFonts w:hint="eastAsia"/>
          <w:b/>
          <w:bCs/>
          <w:i/>
          <w:iCs/>
          <w:sz w:val="20"/>
        </w:rPr>
        <w:t xml:space="preserve">of case-7 timing may have more compatibility issues with legacy access </w:t>
      </w:r>
      <w:r>
        <w:rPr>
          <w:b/>
          <w:bCs/>
          <w:i/>
          <w:iCs/>
          <w:sz w:val="20"/>
        </w:rPr>
        <w:t>UEs.</w:t>
      </w:r>
    </w:p>
    <w:p w:rsidR="0006075B" w:rsidRDefault="002F3A23">
      <w:pPr>
        <w:spacing w:before="120" w:after="120"/>
        <w:rPr>
          <w:b/>
          <w:bCs/>
          <w:i/>
          <w:iCs/>
          <w:sz w:val="20"/>
        </w:rPr>
      </w:pPr>
      <w:r>
        <w:rPr>
          <w:b/>
          <w:bCs/>
          <w:i/>
          <w:iCs/>
          <w:sz w:val="20"/>
        </w:rPr>
        <w:t>Observation 4: Whether “case-7 timing” is supported for simultaneous MT-Tx/DU-Rx depends on the clear decision whether MT-Tx/DU-Rx still needs to support when multi-panel does not have good isolation. If no, the FFS should be completely omitted.</w:t>
      </w:r>
    </w:p>
    <w:p w:rsidR="0006075B" w:rsidRDefault="002F3A23">
      <w:pPr>
        <w:spacing w:before="120" w:after="120"/>
        <w:rPr>
          <w:b/>
          <w:bCs/>
          <w:i/>
          <w:iCs/>
          <w:sz w:val="20"/>
        </w:rPr>
      </w:pPr>
      <w:r>
        <w:rPr>
          <w:b/>
          <w:bCs/>
          <w:i/>
          <w:iCs/>
          <w:sz w:val="20"/>
        </w:rPr>
        <w:t xml:space="preserve">Observation 5: The </w:t>
      </w:r>
      <w:r>
        <w:rPr>
          <w:rFonts w:hint="eastAsia"/>
          <w:b/>
          <w:bCs/>
          <w:i/>
          <w:iCs/>
          <w:sz w:val="20"/>
        </w:rPr>
        <w:t xml:space="preserve">so-called </w:t>
      </w:r>
      <w:r>
        <w:rPr>
          <w:b/>
          <w:bCs/>
          <w:i/>
          <w:iCs/>
          <w:sz w:val="20"/>
        </w:rPr>
        <w:t>“case-7 timing” for simultaneous MT-Tx/DU-Rx is a new kind of timing mode</w:t>
      </w:r>
      <w:r>
        <w:rPr>
          <w:rFonts w:hint="eastAsia"/>
          <w:b/>
          <w:bCs/>
          <w:i/>
          <w:iCs/>
          <w:sz w:val="20"/>
        </w:rPr>
        <w:t xml:space="preserve"> which has not been discussed during Rel-15 SI</w:t>
      </w:r>
      <w:r>
        <w:rPr>
          <w:b/>
          <w:bCs/>
          <w:i/>
          <w:iCs/>
          <w:sz w:val="20"/>
        </w:rPr>
        <w:t>.</w:t>
      </w:r>
    </w:p>
    <w:p w:rsidR="0006075B" w:rsidRDefault="002F3A23">
      <w:pPr>
        <w:spacing w:before="120" w:after="120"/>
        <w:rPr>
          <w:b/>
          <w:bCs/>
          <w:i/>
          <w:iCs/>
          <w:sz w:val="20"/>
        </w:rPr>
      </w:pPr>
      <w:r>
        <w:rPr>
          <w:b/>
          <w:bCs/>
          <w:i/>
          <w:iCs/>
          <w:sz w:val="20"/>
        </w:rPr>
        <w:t xml:space="preserve">Observation 6: </w:t>
      </w:r>
      <w:r>
        <w:rPr>
          <w:rFonts w:hint="eastAsia"/>
          <w:b/>
          <w:bCs/>
          <w:i/>
          <w:iCs/>
          <w:sz w:val="20"/>
        </w:rPr>
        <w:t>If</w:t>
      </w:r>
      <w:r>
        <w:rPr>
          <w:b/>
          <w:bCs/>
          <w:i/>
          <w:iCs/>
          <w:sz w:val="20"/>
        </w:rPr>
        <w:t xml:space="preserve"> </w:t>
      </w:r>
      <w:r>
        <w:rPr>
          <w:rFonts w:hint="eastAsia"/>
          <w:b/>
          <w:bCs/>
          <w:i/>
          <w:iCs/>
          <w:sz w:val="20"/>
        </w:rPr>
        <w:t>MT-Tx/DU-Rx timing alignment was supported, several serious problems may happen due to chain reaction:</w:t>
      </w:r>
    </w:p>
    <w:p w:rsidR="0006075B" w:rsidRDefault="002F3A23">
      <w:pPr>
        <w:numPr>
          <w:ilvl w:val="0"/>
          <w:numId w:val="11"/>
        </w:numPr>
        <w:spacing w:before="120" w:after="120"/>
        <w:ind w:leftChars="199" w:left="840" w:hangingChars="210" w:hanging="422"/>
        <w:rPr>
          <w:b/>
          <w:bCs/>
          <w:i/>
          <w:iCs/>
          <w:sz w:val="20"/>
        </w:rPr>
      </w:pPr>
      <w:r>
        <w:rPr>
          <w:rFonts w:hint="eastAsia"/>
          <w:b/>
          <w:bCs/>
          <w:i/>
          <w:iCs/>
          <w:sz w:val="20"/>
        </w:rPr>
        <w:t>The time offset between UL-Rx timing and DL-Tx timing (i.e.</w:t>
      </w:r>
      <w:r w:rsidR="00B27ADE">
        <w:rPr>
          <w:b/>
          <w:bCs/>
          <w:i/>
          <w:iCs/>
          <w:sz w:val="20"/>
        </w:rPr>
        <w:t>,</w:t>
      </w:r>
      <w:r>
        <w:rPr>
          <w:rFonts w:hint="eastAsia"/>
          <w:b/>
          <w:bCs/>
          <w:i/>
          <w:iCs/>
          <w:sz w:val="20"/>
        </w:rPr>
        <w:t xml:space="preserve"> Tdelta) would be increased as IAB node</w:t>
      </w:r>
      <w:r>
        <w:rPr>
          <w:b/>
          <w:bCs/>
          <w:i/>
          <w:iCs/>
          <w:sz w:val="20"/>
        </w:rPr>
        <w:t>’</w:t>
      </w:r>
      <w:r>
        <w:rPr>
          <w:rFonts w:hint="eastAsia"/>
          <w:b/>
          <w:bCs/>
          <w:i/>
          <w:iCs/>
          <w:sz w:val="20"/>
        </w:rPr>
        <w:t>s hopping number increases.</w:t>
      </w:r>
    </w:p>
    <w:p w:rsidR="0006075B" w:rsidRDefault="002F3A23">
      <w:pPr>
        <w:numPr>
          <w:ilvl w:val="0"/>
          <w:numId w:val="11"/>
        </w:numPr>
        <w:spacing w:before="120" w:after="120"/>
        <w:ind w:leftChars="199" w:left="840" w:hangingChars="210" w:hanging="422"/>
        <w:rPr>
          <w:sz w:val="20"/>
        </w:rPr>
      </w:pPr>
      <w:r>
        <w:rPr>
          <w:rFonts w:hint="eastAsia"/>
          <w:b/>
          <w:bCs/>
          <w:i/>
          <w:iCs/>
          <w:sz w:val="20"/>
        </w:rPr>
        <w:t>Any adjustment of UL-Tx timing of an IAB node would lead to adjustments of UL-Tx timing on all its follow-up hops.</w:t>
      </w:r>
    </w:p>
    <w:p w:rsidR="0006075B" w:rsidRDefault="002F3A23">
      <w:pPr>
        <w:pStyle w:val="1"/>
        <w:spacing w:before="120" w:after="120"/>
        <w:ind w:left="0"/>
        <w:rPr>
          <w:rFonts w:eastAsia="宋体"/>
        </w:rPr>
      </w:pPr>
      <w:r>
        <w:rPr>
          <w:rFonts w:eastAsia="宋体" w:hint="eastAsia"/>
        </w:rPr>
        <w:t>Reference</w:t>
      </w:r>
      <w:r>
        <w:rPr>
          <w:rFonts w:eastAsia="宋体"/>
        </w:rPr>
        <w:t>s</w:t>
      </w:r>
    </w:p>
    <w:p w:rsidR="0006075B" w:rsidRDefault="002F3A23">
      <w:pPr>
        <w:pStyle w:val="References"/>
        <w:spacing w:before="120" w:after="120"/>
        <w:ind w:left="363" w:hanging="363"/>
      </w:pPr>
      <w:r>
        <w:rPr>
          <w:rFonts w:hint="eastAsia"/>
          <w:szCs w:val="20"/>
        </w:rPr>
        <w:t>Chairman's Notes RAN1#102-e final.</w:t>
      </w:r>
    </w:p>
    <w:p w:rsidR="0006075B" w:rsidRDefault="002F3A23">
      <w:pPr>
        <w:pStyle w:val="References"/>
        <w:spacing w:before="120" w:after="120"/>
        <w:ind w:left="363" w:hanging="363"/>
      </w:pPr>
      <w:r>
        <w:rPr>
          <w:rFonts w:hint="eastAsia"/>
        </w:rPr>
        <w:t xml:space="preserve">R1-2007352 </w:t>
      </w:r>
      <w:r>
        <w:t>Summary of [102-e-NR-eIAB-02]</w:t>
      </w:r>
      <w:r>
        <w:rPr>
          <w:rFonts w:hint="eastAsia"/>
        </w:rPr>
        <w:t>.</w:t>
      </w:r>
    </w:p>
    <w:sectPr w:rsidR="0006075B">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D05" w:rsidRDefault="002F3A23">
      <w:pPr>
        <w:spacing w:before="120" w:after="120" w:line="240" w:lineRule="auto"/>
      </w:pPr>
      <w:r>
        <w:separator/>
      </w:r>
    </w:p>
  </w:endnote>
  <w:endnote w:type="continuationSeparator" w:id="0">
    <w:p w:rsidR="00DD4D05" w:rsidRDefault="002F3A2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75B" w:rsidRDefault="0006075B">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4744"/>
    </w:sdtPr>
    <w:sdtEndPr/>
    <w:sdtContent>
      <w:p w:rsidR="0006075B" w:rsidRDefault="002F3A23">
        <w:pPr>
          <w:pStyle w:val="a9"/>
          <w:spacing w:before="120" w:after="120"/>
          <w:jc w:val="center"/>
        </w:pPr>
        <w:r>
          <w:fldChar w:fldCharType="begin"/>
        </w:r>
        <w:r>
          <w:instrText xml:space="preserve"> PAGE   \* MERGEFORMAT </w:instrText>
        </w:r>
        <w:r>
          <w:fldChar w:fldCharType="separate"/>
        </w:r>
        <w:r w:rsidR="00B27ADE">
          <w:rPr>
            <w:noProof/>
          </w:rPr>
          <w:t>7</w:t>
        </w:r>
        <w:r>
          <w:fldChar w:fldCharType="end"/>
        </w:r>
      </w:p>
    </w:sdtContent>
  </w:sdt>
  <w:p w:rsidR="0006075B" w:rsidRDefault="0006075B">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75B" w:rsidRDefault="0006075B">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D05" w:rsidRDefault="002F3A23">
      <w:pPr>
        <w:spacing w:before="120" w:after="120" w:line="240" w:lineRule="auto"/>
      </w:pPr>
      <w:r>
        <w:separator/>
      </w:r>
    </w:p>
  </w:footnote>
  <w:footnote w:type="continuationSeparator" w:id="0">
    <w:p w:rsidR="00DD4D05" w:rsidRDefault="002F3A23">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75B" w:rsidRDefault="0006075B">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75B" w:rsidRDefault="0006075B">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75B" w:rsidRDefault="0006075B">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D00F52F4"/>
    <w:multiLevelType w:val="singleLevel"/>
    <w:tmpl w:val="D00F52F4"/>
    <w:lvl w:ilvl="0">
      <w:start w:val="1"/>
      <w:numFmt w:val="bullet"/>
      <w:lvlText w:val="▪"/>
      <w:lvlJc w:val="left"/>
      <w:pPr>
        <w:ind w:left="420" w:hanging="420"/>
      </w:pPr>
      <w:rPr>
        <w:rFonts w:ascii="Arial" w:hAnsi="Arial" w:cs="Arial" w:hint="default"/>
      </w:rPr>
    </w:lvl>
  </w:abstractNum>
  <w:abstractNum w:abstractNumId="3">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E900494"/>
    <w:multiLevelType w:val="multilevel"/>
    <w:tmpl w:val="2E900494"/>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0">
    <w:nsid w:val="64124D6A"/>
    <w:multiLevelType w:val="multilevel"/>
    <w:tmpl w:val="64124D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8"/>
  </w:num>
  <w:num w:numId="6">
    <w:abstractNumId w:val="0"/>
  </w:num>
  <w:num w:numId="7">
    <w:abstractNumId w:val="9"/>
  </w:num>
  <w:num w:numId="8">
    <w:abstractNumId w:val="11"/>
  </w:num>
  <w:num w:numId="9">
    <w:abstractNumId w:val="4"/>
  </w:num>
  <w:num w:numId="10">
    <w:abstractNumId w:val="10"/>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6075B"/>
    <w:rsid w:val="000731D9"/>
    <w:rsid w:val="000A2EE5"/>
    <w:rsid w:val="000C1902"/>
    <w:rsid w:val="000C23F8"/>
    <w:rsid w:val="000D05AA"/>
    <w:rsid w:val="000E7CD3"/>
    <w:rsid w:val="00167D1E"/>
    <w:rsid w:val="00172A27"/>
    <w:rsid w:val="00175FEC"/>
    <w:rsid w:val="00220CC6"/>
    <w:rsid w:val="0022267B"/>
    <w:rsid w:val="0029664F"/>
    <w:rsid w:val="002A0BF2"/>
    <w:rsid w:val="002C59CF"/>
    <w:rsid w:val="002F3A23"/>
    <w:rsid w:val="0031325A"/>
    <w:rsid w:val="00334292"/>
    <w:rsid w:val="00376C34"/>
    <w:rsid w:val="00384F99"/>
    <w:rsid w:val="00395697"/>
    <w:rsid w:val="003A1203"/>
    <w:rsid w:val="003E6CCE"/>
    <w:rsid w:val="0040257E"/>
    <w:rsid w:val="00404FF0"/>
    <w:rsid w:val="00405665"/>
    <w:rsid w:val="00433B93"/>
    <w:rsid w:val="00435878"/>
    <w:rsid w:val="004A5900"/>
    <w:rsid w:val="004C0DBD"/>
    <w:rsid w:val="004C4675"/>
    <w:rsid w:val="004F2D29"/>
    <w:rsid w:val="004F6201"/>
    <w:rsid w:val="0051732E"/>
    <w:rsid w:val="005265A6"/>
    <w:rsid w:val="00565559"/>
    <w:rsid w:val="005B065E"/>
    <w:rsid w:val="006369E0"/>
    <w:rsid w:val="006522AC"/>
    <w:rsid w:val="0066322D"/>
    <w:rsid w:val="006636C0"/>
    <w:rsid w:val="006757F1"/>
    <w:rsid w:val="006921E5"/>
    <w:rsid w:val="0069512F"/>
    <w:rsid w:val="00695650"/>
    <w:rsid w:val="00697EBB"/>
    <w:rsid w:val="006B4DFD"/>
    <w:rsid w:val="006C756C"/>
    <w:rsid w:val="0070284D"/>
    <w:rsid w:val="00726BCF"/>
    <w:rsid w:val="00733AB8"/>
    <w:rsid w:val="00740B89"/>
    <w:rsid w:val="0077184F"/>
    <w:rsid w:val="007761FD"/>
    <w:rsid w:val="007B39E8"/>
    <w:rsid w:val="007B51B3"/>
    <w:rsid w:val="007E5750"/>
    <w:rsid w:val="00823F23"/>
    <w:rsid w:val="00837885"/>
    <w:rsid w:val="00883484"/>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AD7DD2"/>
    <w:rsid w:val="00B04112"/>
    <w:rsid w:val="00B140E4"/>
    <w:rsid w:val="00B22688"/>
    <w:rsid w:val="00B27ADE"/>
    <w:rsid w:val="00B5700F"/>
    <w:rsid w:val="00B6123B"/>
    <w:rsid w:val="00B6403D"/>
    <w:rsid w:val="00B646BE"/>
    <w:rsid w:val="00B675A2"/>
    <w:rsid w:val="00B75F9E"/>
    <w:rsid w:val="00B81A17"/>
    <w:rsid w:val="00B82A09"/>
    <w:rsid w:val="00B82BEF"/>
    <w:rsid w:val="00B9727F"/>
    <w:rsid w:val="00BB423E"/>
    <w:rsid w:val="00BE204A"/>
    <w:rsid w:val="00C06B18"/>
    <w:rsid w:val="00C229E2"/>
    <w:rsid w:val="00C5250B"/>
    <w:rsid w:val="00C551A0"/>
    <w:rsid w:val="00C67E62"/>
    <w:rsid w:val="00C97A84"/>
    <w:rsid w:val="00CA2622"/>
    <w:rsid w:val="00CA43AD"/>
    <w:rsid w:val="00CB3383"/>
    <w:rsid w:val="00CD3BAB"/>
    <w:rsid w:val="00CE007D"/>
    <w:rsid w:val="00CF5CB2"/>
    <w:rsid w:val="00CF7BB0"/>
    <w:rsid w:val="00D64D14"/>
    <w:rsid w:val="00D83922"/>
    <w:rsid w:val="00DC658B"/>
    <w:rsid w:val="00DD1281"/>
    <w:rsid w:val="00DD4D05"/>
    <w:rsid w:val="00DE1BC7"/>
    <w:rsid w:val="00DE3ABE"/>
    <w:rsid w:val="00E34B89"/>
    <w:rsid w:val="00E36661"/>
    <w:rsid w:val="00E865D3"/>
    <w:rsid w:val="00E8734D"/>
    <w:rsid w:val="00EC0971"/>
    <w:rsid w:val="00EC171F"/>
    <w:rsid w:val="00EC3177"/>
    <w:rsid w:val="00EE1459"/>
    <w:rsid w:val="00EF52B5"/>
    <w:rsid w:val="00F063F3"/>
    <w:rsid w:val="00F15363"/>
    <w:rsid w:val="00F24E71"/>
    <w:rsid w:val="00F447C8"/>
    <w:rsid w:val="00F461EF"/>
    <w:rsid w:val="00F978F9"/>
    <w:rsid w:val="00FA0A08"/>
    <w:rsid w:val="00FA7AB4"/>
    <w:rsid w:val="00FB3F4B"/>
    <w:rsid w:val="00FC03CC"/>
    <w:rsid w:val="00FC5E14"/>
    <w:rsid w:val="00FD2DE4"/>
    <w:rsid w:val="00FE4F57"/>
    <w:rsid w:val="01167A89"/>
    <w:rsid w:val="014404CF"/>
    <w:rsid w:val="015702F1"/>
    <w:rsid w:val="015B20BD"/>
    <w:rsid w:val="01764F01"/>
    <w:rsid w:val="02212D7E"/>
    <w:rsid w:val="024D6B6A"/>
    <w:rsid w:val="02553352"/>
    <w:rsid w:val="029B04E7"/>
    <w:rsid w:val="02AD7079"/>
    <w:rsid w:val="02C202A0"/>
    <w:rsid w:val="03073BDC"/>
    <w:rsid w:val="033451DB"/>
    <w:rsid w:val="033F44DC"/>
    <w:rsid w:val="036B3CA6"/>
    <w:rsid w:val="03853D24"/>
    <w:rsid w:val="039F284D"/>
    <w:rsid w:val="03DB0701"/>
    <w:rsid w:val="03FA05E4"/>
    <w:rsid w:val="041D69DB"/>
    <w:rsid w:val="04711194"/>
    <w:rsid w:val="04787413"/>
    <w:rsid w:val="04824ADC"/>
    <w:rsid w:val="048A693F"/>
    <w:rsid w:val="049820AC"/>
    <w:rsid w:val="04B977FE"/>
    <w:rsid w:val="04C27429"/>
    <w:rsid w:val="04F43DBC"/>
    <w:rsid w:val="051D2186"/>
    <w:rsid w:val="0555228E"/>
    <w:rsid w:val="059D1E39"/>
    <w:rsid w:val="05E078B3"/>
    <w:rsid w:val="061A6A42"/>
    <w:rsid w:val="061E3658"/>
    <w:rsid w:val="065D038F"/>
    <w:rsid w:val="06684262"/>
    <w:rsid w:val="067342DE"/>
    <w:rsid w:val="069635DB"/>
    <w:rsid w:val="06B2024B"/>
    <w:rsid w:val="06DF203C"/>
    <w:rsid w:val="06EA48EC"/>
    <w:rsid w:val="070061BC"/>
    <w:rsid w:val="07194833"/>
    <w:rsid w:val="07637E02"/>
    <w:rsid w:val="077D0583"/>
    <w:rsid w:val="079724D0"/>
    <w:rsid w:val="082A352F"/>
    <w:rsid w:val="08C02A08"/>
    <w:rsid w:val="08C349D1"/>
    <w:rsid w:val="08DD3637"/>
    <w:rsid w:val="08F04726"/>
    <w:rsid w:val="0965483E"/>
    <w:rsid w:val="09961B0B"/>
    <w:rsid w:val="09997194"/>
    <w:rsid w:val="09AF099C"/>
    <w:rsid w:val="09F67CD5"/>
    <w:rsid w:val="0A314C21"/>
    <w:rsid w:val="0A8B18E1"/>
    <w:rsid w:val="0ACF283D"/>
    <w:rsid w:val="0ACF5168"/>
    <w:rsid w:val="0AE23704"/>
    <w:rsid w:val="0B25121C"/>
    <w:rsid w:val="0B616C98"/>
    <w:rsid w:val="0B9E71DF"/>
    <w:rsid w:val="0BBA4E15"/>
    <w:rsid w:val="0BE57191"/>
    <w:rsid w:val="0C6450EC"/>
    <w:rsid w:val="0C89227F"/>
    <w:rsid w:val="0C9D30C2"/>
    <w:rsid w:val="0CE432A0"/>
    <w:rsid w:val="0D1220E5"/>
    <w:rsid w:val="0D772C9C"/>
    <w:rsid w:val="0D91205B"/>
    <w:rsid w:val="0E0B3698"/>
    <w:rsid w:val="0E171354"/>
    <w:rsid w:val="0E172BD0"/>
    <w:rsid w:val="0E2E3A68"/>
    <w:rsid w:val="0E6122BF"/>
    <w:rsid w:val="0E8F5401"/>
    <w:rsid w:val="0EFF5C2D"/>
    <w:rsid w:val="0F1B6F0A"/>
    <w:rsid w:val="0F5B70B3"/>
    <w:rsid w:val="0FD74648"/>
    <w:rsid w:val="100D1BF3"/>
    <w:rsid w:val="101173BB"/>
    <w:rsid w:val="108746DE"/>
    <w:rsid w:val="109F3465"/>
    <w:rsid w:val="10A50104"/>
    <w:rsid w:val="10AD1CC0"/>
    <w:rsid w:val="10DA1818"/>
    <w:rsid w:val="10E348C8"/>
    <w:rsid w:val="111C561E"/>
    <w:rsid w:val="119D7849"/>
    <w:rsid w:val="11B87794"/>
    <w:rsid w:val="1242135C"/>
    <w:rsid w:val="125B6C47"/>
    <w:rsid w:val="12775CDF"/>
    <w:rsid w:val="12B73F6B"/>
    <w:rsid w:val="12F334CF"/>
    <w:rsid w:val="13A1683F"/>
    <w:rsid w:val="13A76A52"/>
    <w:rsid w:val="13DB3C06"/>
    <w:rsid w:val="147418D7"/>
    <w:rsid w:val="148C3A7E"/>
    <w:rsid w:val="14A43302"/>
    <w:rsid w:val="14C853CE"/>
    <w:rsid w:val="14CC0A51"/>
    <w:rsid w:val="14DA3DA1"/>
    <w:rsid w:val="14EE1EBB"/>
    <w:rsid w:val="158B08C6"/>
    <w:rsid w:val="15AD415D"/>
    <w:rsid w:val="15CC53EE"/>
    <w:rsid w:val="15E36905"/>
    <w:rsid w:val="15F1581D"/>
    <w:rsid w:val="16513AEF"/>
    <w:rsid w:val="169F6619"/>
    <w:rsid w:val="17155857"/>
    <w:rsid w:val="17674FC6"/>
    <w:rsid w:val="17950508"/>
    <w:rsid w:val="17CC176B"/>
    <w:rsid w:val="186A13AB"/>
    <w:rsid w:val="1894213E"/>
    <w:rsid w:val="189D47FD"/>
    <w:rsid w:val="19010C43"/>
    <w:rsid w:val="19084C73"/>
    <w:rsid w:val="19200C2D"/>
    <w:rsid w:val="1A054259"/>
    <w:rsid w:val="1A0D7F96"/>
    <w:rsid w:val="1A2E0961"/>
    <w:rsid w:val="1A465517"/>
    <w:rsid w:val="1AED7764"/>
    <w:rsid w:val="1B3C1E7E"/>
    <w:rsid w:val="1B7F6005"/>
    <w:rsid w:val="1B804965"/>
    <w:rsid w:val="1BCE1DFD"/>
    <w:rsid w:val="1BDA119C"/>
    <w:rsid w:val="1C132CB9"/>
    <w:rsid w:val="1CAB67AC"/>
    <w:rsid w:val="1CC55E56"/>
    <w:rsid w:val="1CCC26CA"/>
    <w:rsid w:val="1D736D6E"/>
    <w:rsid w:val="1DA15259"/>
    <w:rsid w:val="1DA2248D"/>
    <w:rsid w:val="1DED6FF3"/>
    <w:rsid w:val="1DEF202A"/>
    <w:rsid w:val="1E155F21"/>
    <w:rsid w:val="1E213CAA"/>
    <w:rsid w:val="1E545DBD"/>
    <w:rsid w:val="1E664B2D"/>
    <w:rsid w:val="1E9D6342"/>
    <w:rsid w:val="1F150373"/>
    <w:rsid w:val="1F440BFE"/>
    <w:rsid w:val="1F723122"/>
    <w:rsid w:val="1F7479F8"/>
    <w:rsid w:val="1FE11599"/>
    <w:rsid w:val="1FF51A13"/>
    <w:rsid w:val="202A4795"/>
    <w:rsid w:val="20495BD8"/>
    <w:rsid w:val="204E6676"/>
    <w:rsid w:val="206E2004"/>
    <w:rsid w:val="20712797"/>
    <w:rsid w:val="20CB6FE0"/>
    <w:rsid w:val="211941B9"/>
    <w:rsid w:val="211A0695"/>
    <w:rsid w:val="211B1392"/>
    <w:rsid w:val="214833CD"/>
    <w:rsid w:val="216406C3"/>
    <w:rsid w:val="2195668B"/>
    <w:rsid w:val="21BE5AD4"/>
    <w:rsid w:val="21C2279E"/>
    <w:rsid w:val="21C90F74"/>
    <w:rsid w:val="21EC1042"/>
    <w:rsid w:val="23082245"/>
    <w:rsid w:val="23523D5B"/>
    <w:rsid w:val="236847C5"/>
    <w:rsid w:val="23733000"/>
    <w:rsid w:val="237E4558"/>
    <w:rsid w:val="23A30984"/>
    <w:rsid w:val="23B71DF0"/>
    <w:rsid w:val="23DA1E98"/>
    <w:rsid w:val="240C71C8"/>
    <w:rsid w:val="245C52F8"/>
    <w:rsid w:val="2463385E"/>
    <w:rsid w:val="24944B36"/>
    <w:rsid w:val="24D77AFB"/>
    <w:rsid w:val="24E702E9"/>
    <w:rsid w:val="24FE25BF"/>
    <w:rsid w:val="2508650D"/>
    <w:rsid w:val="25134332"/>
    <w:rsid w:val="253D6D3A"/>
    <w:rsid w:val="255118C9"/>
    <w:rsid w:val="25722255"/>
    <w:rsid w:val="257E508F"/>
    <w:rsid w:val="25A41814"/>
    <w:rsid w:val="25C00748"/>
    <w:rsid w:val="25E845D3"/>
    <w:rsid w:val="26421C49"/>
    <w:rsid w:val="2653091D"/>
    <w:rsid w:val="26A168EB"/>
    <w:rsid w:val="26AA670E"/>
    <w:rsid w:val="274C01EB"/>
    <w:rsid w:val="27AB7429"/>
    <w:rsid w:val="27F85BF5"/>
    <w:rsid w:val="28006673"/>
    <w:rsid w:val="28311F29"/>
    <w:rsid w:val="285C053E"/>
    <w:rsid w:val="28663D87"/>
    <w:rsid w:val="28911DA4"/>
    <w:rsid w:val="29741FCB"/>
    <w:rsid w:val="29FA7F26"/>
    <w:rsid w:val="2A115137"/>
    <w:rsid w:val="2A4E36C4"/>
    <w:rsid w:val="2A700E2D"/>
    <w:rsid w:val="2A8238B0"/>
    <w:rsid w:val="2A834EF2"/>
    <w:rsid w:val="2A9E3A9C"/>
    <w:rsid w:val="2B5D3F6B"/>
    <w:rsid w:val="2B5E3436"/>
    <w:rsid w:val="2B76388B"/>
    <w:rsid w:val="2B774832"/>
    <w:rsid w:val="2BA97DE5"/>
    <w:rsid w:val="2BAA3A2F"/>
    <w:rsid w:val="2BAF5B74"/>
    <w:rsid w:val="2CB47BAD"/>
    <w:rsid w:val="2CC16BCB"/>
    <w:rsid w:val="2D5B4DC4"/>
    <w:rsid w:val="2D6A12F9"/>
    <w:rsid w:val="2D8838AD"/>
    <w:rsid w:val="2DC56BFE"/>
    <w:rsid w:val="2DEB0B4E"/>
    <w:rsid w:val="2DFE122C"/>
    <w:rsid w:val="2E7100FC"/>
    <w:rsid w:val="2E9F0C6A"/>
    <w:rsid w:val="2EED66B0"/>
    <w:rsid w:val="2F1251F2"/>
    <w:rsid w:val="2F226943"/>
    <w:rsid w:val="2F48200A"/>
    <w:rsid w:val="300A73E1"/>
    <w:rsid w:val="306169EA"/>
    <w:rsid w:val="30962F3E"/>
    <w:rsid w:val="30B466C4"/>
    <w:rsid w:val="30D17E68"/>
    <w:rsid w:val="30E91386"/>
    <w:rsid w:val="30FF2795"/>
    <w:rsid w:val="31136AEE"/>
    <w:rsid w:val="3150693A"/>
    <w:rsid w:val="315660F9"/>
    <w:rsid w:val="31CE35AD"/>
    <w:rsid w:val="31CE3783"/>
    <w:rsid w:val="31EF29F9"/>
    <w:rsid w:val="324F5D1C"/>
    <w:rsid w:val="32604016"/>
    <w:rsid w:val="32797DA2"/>
    <w:rsid w:val="328C47B2"/>
    <w:rsid w:val="329A6ACE"/>
    <w:rsid w:val="32C96B57"/>
    <w:rsid w:val="3306388C"/>
    <w:rsid w:val="335B6F56"/>
    <w:rsid w:val="33BD3D7F"/>
    <w:rsid w:val="33D9437A"/>
    <w:rsid w:val="34154AEE"/>
    <w:rsid w:val="34A3771F"/>
    <w:rsid w:val="34AF1772"/>
    <w:rsid w:val="34CE3671"/>
    <w:rsid w:val="35141A17"/>
    <w:rsid w:val="35684571"/>
    <w:rsid w:val="35A6288A"/>
    <w:rsid w:val="35E341B6"/>
    <w:rsid w:val="35E42057"/>
    <w:rsid w:val="35E528C4"/>
    <w:rsid w:val="360B1D73"/>
    <w:rsid w:val="361F3323"/>
    <w:rsid w:val="362B1155"/>
    <w:rsid w:val="364112DA"/>
    <w:rsid w:val="36C5320A"/>
    <w:rsid w:val="36E93760"/>
    <w:rsid w:val="36FD4529"/>
    <w:rsid w:val="37060192"/>
    <w:rsid w:val="3784394E"/>
    <w:rsid w:val="3823721F"/>
    <w:rsid w:val="38AE3BB0"/>
    <w:rsid w:val="39A43F87"/>
    <w:rsid w:val="39D56F32"/>
    <w:rsid w:val="39FB23D4"/>
    <w:rsid w:val="3A7A4510"/>
    <w:rsid w:val="3A9F4EA0"/>
    <w:rsid w:val="3ACB5746"/>
    <w:rsid w:val="3ADB3F57"/>
    <w:rsid w:val="3B4345A5"/>
    <w:rsid w:val="3B4E3C4C"/>
    <w:rsid w:val="3BB20883"/>
    <w:rsid w:val="3BE22473"/>
    <w:rsid w:val="3BE407A4"/>
    <w:rsid w:val="3C142E37"/>
    <w:rsid w:val="3C2A506F"/>
    <w:rsid w:val="3C3D7506"/>
    <w:rsid w:val="3C5263CC"/>
    <w:rsid w:val="3C543E70"/>
    <w:rsid w:val="3C5A4EA4"/>
    <w:rsid w:val="3C736E72"/>
    <w:rsid w:val="3D0A233F"/>
    <w:rsid w:val="3D1E4653"/>
    <w:rsid w:val="3D361441"/>
    <w:rsid w:val="3DDE19B0"/>
    <w:rsid w:val="3E2A3166"/>
    <w:rsid w:val="3E3B5572"/>
    <w:rsid w:val="3E441C7D"/>
    <w:rsid w:val="3E6B774C"/>
    <w:rsid w:val="3EBA19A4"/>
    <w:rsid w:val="3EDA04D5"/>
    <w:rsid w:val="3F5E11B9"/>
    <w:rsid w:val="3F66426C"/>
    <w:rsid w:val="3FBB6DA8"/>
    <w:rsid w:val="3FC956FF"/>
    <w:rsid w:val="3FEF0F46"/>
    <w:rsid w:val="3FFA7677"/>
    <w:rsid w:val="3FFB0539"/>
    <w:rsid w:val="40205795"/>
    <w:rsid w:val="405E097D"/>
    <w:rsid w:val="40A36A71"/>
    <w:rsid w:val="40C650FF"/>
    <w:rsid w:val="40CF105F"/>
    <w:rsid w:val="4116656E"/>
    <w:rsid w:val="4177661A"/>
    <w:rsid w:val="41D3631F"/>
    <w:rsid w:val="41F466FD"/>
    <w:rsid w:val="42063A2E"/>
    <w:rsid w:val="421C3945"/>
    <w:rsid w:val="42280722"/>
    <w:rsid w:val="426B41A0"/>
    <w:rsid w:val="42812B39"/>
    <w:rsid w:val="42A67A24"/>
    <w:rsid w:val="42B31897"/>
    <w:rsid w:val="42D17B6A"/>
    <w:rsid w:val="42D846B9"/>
    <w:rsid w:val="42DC0124"/>
    <w:rsid w:val="42EA7744"/>
    <w:rsid w:val="42F4675D"/>
    <w:rsid w:val="438E2DA7"/>
    <w:rsid w:val="43DF2400"/>
    <w:rsid w:val="440D5045"/>
    <w:rsid w:val="44281E42"/>
    <w:rsid w:val="4448179D"/>
    <w:rsid w:val="451F6FA3"/>
    <w:rsid w:val="45625E40"/>
    <w:rsid w:val="45825D50"/>
    <w:rsid w:val="45863103"/>
    <w:rsid w:val="459E4FC8"/>
    <w:rsid w:val="45B55022"/>
    <w:rsid w:val="45BE6191"/>
    <w:rsid w:val="45DD4FD0"/>
    <w:rsid w:val="460C5979"/>
    <w:rsid w:val="467E7709"/>
    <w:rsid w:val="46B01989"/>
    <w:rsid w:val="476077FF"/>
    <w:rsid w:val="47701E40"/>
    <w:rsid w:val="47A009AB"/>
    <w:rsid w:val="47BF1887"/>
    <w:rsid w:val="47C01792"/>
    <w:rsid w:val="480304B2"/>
    <w:rsid w:val="4808150F"/>
    <w:rsid w:val="483069DE"/>
    <w:rsid w:val="485E0F99"/>
    <w:rsid w:val="489C5D93"/>
    <w:rsid w:val="48A73429"/>
    <w:rsid w:val="48DA0F1B"/>
    <w:rsid w:val="498A04F2"/>
    <w:rsid w:val="49E9233D"/>
    <w:rsid w:val="4A0B4E23"/>
    <w:rsid w:val="4A1C6083"/>
    <w:rsid w:val="4A292E2A"/>
    <w:rsid w:val="4A3B68B3"/>
    <w:rsid w:val="4A8E3646"/>
    <w:rsid w:val="4AAD1944"/>
    <w:rsid w:val="4AB61820"/>
    <w:rsid w:val="4AC31003"/>
    <w:rsid w:val="4AC62B5E"/>
    <w:rsid w:val="4AE93159"/>
    <w:rsid w:val="4AED60FD"/>
    <w:rsid w:val="4AFE671F"/>
    <w:rsid w:val="4B234E40"/>
    <w:rsid w:val="4B347081"/>
    <w:rsid w:val="4B493729"/>
    <w:rsid w:val="4B517775"/>
    <w:rsid w:val="4BD0339A"/>
    <w:rsid w:val="4C0731C2"/>
    <w:rsid w:val="4C394968"/>
    <w:rsid w:val="4C4F59EF"/>
    <w:rsid w:val="4CC32450"/>
    <w:rsid w:val="4D1B5E55"/>
    <w:rsid w:val="4D2269B7"/>
    <w:rsid w:val="4D2624F7"/>
    <w:rsid w:val="4D462159"/>
    <w:rsid w:val="4D5C5FAC"/>
    <w:rsid w:val="4D903CAF"/>
    <w:rsid w:val="4D9513F6"/>
    <w:rsid w:val="4DA03BF2"/>
    <w:rsid w:val="4DBF6042"/>
    <w:rsid w:val="4DC605B6"/>
    <w:rsid w:val="4DD636F4"/>
    <w:rsid w:val="4DEC0985"/>
    <w:rsid w:val="4E1C6436"/>
    <w:rsid w:val="4E24465F"/>
    <w:rsid w:val="4E27683A"/>
    <w:rsid w:val="4E334753"/>
    <w:rsid w:val="4E354B62"/>
    <w:rsid w:val="4E362D17"/>
    <w:rsid w:val="4E4955E8"/>
    <w:rsid w:val="4ECC56BB"/>
    <w:rsid w:val="4F2765B1"/>
    <w:rsid w:val="4F285975"/>
    <w:rsid w:val="4F34639F"/>
    <w:rsid w:val="4FFD30B0"/>
    <w:rsid w:val="50187D28"/>
    <w:rsid w:val="5052250D"/>
    <w:rsid w:val="506901EE"/>
    <w:rsid w:val="50961E20"/>
    <w:rsid w:val="50AB610F"/>
    <w:rsid w:val="513A477C"/>
    <w:rsid w:val="51867298"/>
    <w:rsid w:val="52025DEC"/>
    <w:rsid w:val="52195EDF"/>
    <w:rsid w:val="521A6AF9"/>
    <w:rsid w:val="522F787C"/>
    <w:rsid w:val="52313387"/>
    <w:rsid w:val="52B30520"/>
    <w:rsid w:val="52CC6134"/>
    <w:rsid w:val="52DC42BA"/>
    <w:rsid w:val="52E04D27"/>
    <w:rsid w:val="53734AFF"/>
    <w:rsid w:val="539A390F"/>
    <w:rsid w:val="53DB3477"/>
    <w:rsid w:val="53EF4810"/>
    <w:rsid w:val="54761BC2"/>
    <w:rsid w:val="54983F44"/>
    <w:rsid w:val="54A3122C"/>
    <w:rsid w:val="54AF6B42"/>
    <w:rsid w:val="54BB3E92"/>
    <w:rsid w:val="54FD3190"/>
    <w:rsid w:val="550D5818"/>
    <w:rsid w:val="55BA37EE"/>
    <w:rsid w:val="55DD6F2A"/>
    <w:rsid w:val="568C0E5A"/>
    <w:rsid w:val="56C6338F"/>
    <w:rsid w:val="56E23970"/>
    <w:rsid w:val="56E86B2B"/>
    <w:rsid w:val="571C3CCD"/>
    <w:rsid w:val="578F220A"/>
    <w:rsid w:val="57FC07D9"/>
    <w:rsid w:val="58500F22"/>
    <w:rsid w:val="5875427E"/>
    <w:rsid w:val="588E0520"/>
    <w:rsid w:val="591C0009"/>
    <w:rsid w:val="59724FAA"/>
    <w:rsid w:val="59EA441A"/>
    <w:rsid w:val="5A0D7942"/>
    <w:rsid w:val="5A374932"/>
    <w:rsid w:val="5A8B6AF9"/>
    <w:rsid w:val="5A9E1971"/>
    <w:rsid w:val="5AAE27F7"/>
    <w:rsid w:val="5AC32943"/>
    <w:rsid w:val="5ACF0F3A"/>
    <w:rsid w:val="5B910D3F"/>
    <w:rsid w:val="5BC82514"/>
    <w:rsid w:val="5C3E4F80"/>
    <w:rsid w:val="5C6B1600"/>
    <w:rsid w:val="5C921AD0"/>
    <w:rsid w:val="5C9B41C3"/>
    <w:rsid w:val="5CAA4998"/>
    <w:rsid w:val="5D0F4006"/>
    <w:rsid w:val="5D48096D"/>
    <w:rsid w:val="5D8836E1"/>
    <w:rsid w:val="5DA665F1"/>
    <w:rsid w:val="5DE923EB"/>
    <w:rsid w:val="5DFD51DB"/>
    <w:rsid w:val="5E0D36E5"/>
    <w:rsid w:val="5E107E6E"/>
    <w:rsid w:val="5E5075E3"/>
    <w:rsid w:val="5EE94C0E"/>
    <w:rsid w:val="5F8E64F1"/>
    <w:rsid w:val="5FB25365"/>
    <w:rsid w:val="5FC6703C"/>
    <w:rsid w:val="601F6FA4"/>
    <w:rsid w:val="602444C8"/>
    <w:rsid w:val="60394308"/>
    <w:rsid w:val="607C3753"/>
    <w:rsid w:val="60931392"/>
    <w:rsid w:val="60C30855"/>
    <w:rsid w:val="60DF7910"/>
    <w:rsid w:val="60F75813"/>
    <w:rsid w:val="612F7F06"/>
    <w:rsid w:val="61421EFD"/>
    <w:rsid w:val="61493601"/>
    <w:rsid w:val="615C5041"/>
    <w:rsid w:val="615F0947"/>
    <w:rsid w:val="61D85F42"/>
    <w:rsid w:val="62562807"/>
    <w:rsid w:val="626A0EBF"/>
    <w:rsid w:val="629773D1"/>
    <w:rsid w:val="629C627B"/>
    <w:rsid w:val="62B00965"/>
    <w:rsid w:val="62CD03E1"/>
    <w:rsid w:val="62DC23EB"/>
    <w:rsid w:val="62E15DBA"/>
    <w:rsid w:val="63182FFE"/>
    <w:rsid w:val="63983EC4"/>
    <w:rsid w:val="639854D4"/>
    <w:rsid w:val="63A46822"/>
    <w:rsid w:val="63C5603D"/>
    <w:rsid w:val="63D72C60"/>
    <w:rsid w:val="64E72AC4"/>
    <w:rsid w:val="650A0EA3"/>
    <w:rsid w:val="65245052"/>
    <w:rsid w:val="65564EE8"/>
    <w:rsid w:val="6576688A"/>
    <w:rsid w:val="65C43BE9"/>
    <w:rsid w:val="65D735F4"/>
    <w:rsid w:val="65DD063F"/>
    <w:rsid w:val="66312713"/>
    <w:rsid w:val="66393CAB"/>
    <w:rsid w:val="664805B8"/>
    <w:rsid w:val="665A2A0A"/>
    <w:rsid w:val="668E544C"/>
    <w:rsid w:val="669A3AC9"/>
    <w:rsid w:val="67E017FE"/>
    <w:rsid w:val="67F31D3A"/>
    <w:rsid w:val="681B1F4D"/>
    <w:rsid w:val="68451BCA"/>
    <w:rsid w:val="684652BD"/>
    <w:rsid w:val="68C96DCD"/>
    <w:rsid w:val="690F418B"/>
    <w:rsid w:val="69415C00"/>
    <w:rsid w:val="695606A3"/>
    <w:rsid w:val="69767754"/>
    <w:rsid w:val="69A57B3E"/>
    <w:rsid w:val="69A83454"/>
    <w:rsid w:val="69DC279E"/>
    <w:rsid w:val="6A25071A"/>
    <w:rsid w:val="6A363544"/>
    <w:rsid w:val="6A7A2736"/>
    <w:rsid w:val="6A7B4B9C"/>
    <w:rsid w:val="6AC11D22"/>
    <w:rsid w:val="6B051E88"/>
    <w:rsid w:val="6B9E1D81"/>
    <w:rsid w:val="6BA651DA"/>
    <w:rsid w:val="6BF17AD4"/>
    <w:rsid w:val="6C2F36D3"/>
    <w:rsid w:val="6C7D1E1B"/>
    <w:rsid w:val="6C89456C"/>
    <w:rsid w:val="6C970A7F"/>
    <w:rsid w:val="6DA611C9"/>
    <w:rsid w:val="6DDC6B6F"/>
    <w:rsid w:val="6E0A1043"/>
    <w:rsid w:val="6E0E2009"/>
    <w:rsid w:val="6E483F97"/>
    <w:rsid w:val="6E6B09BB"/>
    <w:rsid w:val="6E9B6042"/>
    <w:rsid w:val="6EA03D2B"/>
    <w:rsid w:val="6EA8395D"/>
    <w:rsid w:val="6F05530A"/>
    <w:rsid w:val="6F447A5A"/>
    <w:rsid w:val="6F8161FC"/>
    <w:rsid w:val="6FA51A5F"/>
    <w:rsid w:val="6FA629D4"/>
    <w:rsid w:val="707964EB"/>
    <w:rsid w:val="7087334C"/>
    <w:rsid w:val="70BB2EF0"/>
    <w:rsid w:val="70D42489"/>
    <w:rsid w:val="70D46AC8"/>
    <w:rsid w:val="70EB0923"/>
    <w:rsid w:val="7111577A"/>
    <w:rsid w:val="713B41ED"/>
    <w:rsid w:val="71597A3B"/>
    <w:rsid w:val="7176163B"/>
    <w:rsid w:val="71EC6A6E"/>
    <w:rsid w:val="71F60B93"/>
    <w:rsid w:val="7275543D"/>
    <w:rsid w:val="72A71F44"/>
    <w:rsid w:val="72D038BA"/>
    <w:rsid w:val="72E50C43"/>
    <w:rsid w:val="731703A9"/>
    <w:rsid w:val="73D425F7"/>
    <w:rsid w:val="747808C4"/>
    <w:rsid w:val="74822137"/>
    <w:rsid w:val="74FA10A7"/>
    <w:rsid w:val="75001BE0"/>
    <w:rsid w:val="750A2023"/>
    <w:rsid w:val="7511431D"/>
    <w:rsid w:val="7526648A"/>
    <w:rsid w:val="757D508B"/>
    <w:rsid w:val="75CB078A"/>
    <w:rsid w:val="75D00C83"/>
    <w:rsid w:val="75F644AF"/>
    <w:rsid w:val="763C1508"/>
    <w:rsid w:val="7676736A"/>
    <w:rsid w:val="76933951"/>
    <w:rsid w:val="76B620C0"/>
    <w:rsid w:val="76CB53B8"/>
    <w:rsid w:val="77046B81"/>
    <w:rsid w:val="77146904"/>
    <w:rsid w:val="771D661B"/>
    <w:rsid w:val="771F0F97"/>
    <w:rsid w:val="778D19E8"/>
    <w:rsid w:val="77C27E66"/>
    <w:rsid w:val="77F25B29"/>
    <w:rsid w:val="782235EB"/>
    <w:rsid w:val="78511886"/>
    <w:rsid w:val="786D7E85"/>
    <w:rsid w:val="78782A0D"/>
    <w:rsid w:val="789855AA"/>
    <w:rsid w:val="789F5119"/>
    <w:rsid w:val="78C640F0"/>
    <w:rsid w:val="78EE1454"/>
    <w:rsid w:val="79224A47"/>
    <w:rsid w:val="79A2171F"/>
    <w:rsid w:val="79A252FF"/>
    <w:rsid w:val="79A80381"/>
    <w:rsid w:val="79BB4356"/>
    <w:rsid w:val="79D33056"/>
    <w:rsid w:val="79DF50CE"/>
    <w:rsid w:val="7A396D3C"/>
    <w:rsid w:val="7A626407"/>
    <w:rsid w:val="7A7A7D68"/>
    <w:rsid w:val="7AC202F9"/>
    <w:rsid w:val="7AD42B4F"/>
    <w:rsid w:val="7B3E7526"/>
    <w:rsid w:val="7BA36132"/>
    <w:rsid w:val="7BE13AB3"/>
    <w:rsid w:val="7C0C6436"/>
    <w:rsid w:val="7C1B5FFE"/>
    <w:rsid w:val="7C26369C"/>
    <w:rsid w:val="7C34644E"/>
    <w:rsid w:val="7C490025"/>
    <w:rsid w:val="7C706675"/>
    <w:rsid w:val="7C9E5A24"/>
    <w:rsid w:val="7CAD3C62"/>
    <w:rsid w:val="7CB0616A"/>
    <w:rsid w:val="7CEB69C7"/>
    <w:rsid w:val="7D0E2C70"/>
    <w:rsid w:val="7D1F0C75"/>
    <w:rsid w:val="7D23440D"/>
    <w:rsid w:val="7D37341E"/>
    <w:rsid w:val="7D62117D"/>
    <w:rsid w:val="7DCA1F7D"/>
    <w:rsid w:val="7DCB3F94"/>
    <w:rsid w:val="7E027CFB"/>
    <w:rsid w:val="7E3E1EF2"/>
    <w:rsid w:val="7E4827AD"/>
    <w:rsid w:val="7E686F3E"/>
    <w:rsid w:val="7E823AFC"/>
    <w:rsid w:val="7E951513"/>
    <w:rsid w:val="7EF74FC9"/>
    <w:rsid w:val="7F3D5140"/>
    <w:rsid w:val="7F9062E5"/>
    <w:rsid w:val="7F933BD8"/>
    <w:rsid w:val="7F9C6122"/>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shapelayout>
  </w:shapeDefaults>
  <w:decimalSymbol w:val="."/>
  <w:listSeparator w:val=","/>
  <w15:docId w15:val="{CF2E7628-4843-4CC7-8D16-30768CA6B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200" w:line="276" w:lineRule="auto"/>
      <w:jc w:val="both"/>
    </w:pPr>
    <w:rPr>
      <w:kern w:val="2"/>
      <w:sz w:val="21"/>
    </w:rPr>
  </w:style>
  <w:style w:type="paragraph" w:styleId="1">
    <w:name w:val="heading 1"/>
    <w:basedOn w:val="a"/>
    <w:next w:val="YJ--"/>
    <w:qFormat/>
    <w:pPr>
      <w:keepNext/>
      <w:keepLines/>
      <w:numPr>
        <w:numId w:val="1"/>
      </w:numPr>
      <w:pBdr>
        <w:top w:val="single" w:sz="12" w:space="3" w:color="auto"/>
      </w:pBdr>
      <w:ind w:left="630"/>
      <w:outlineLvl w:val="0"/>
    </w:pPr>
    <w:rPr>
      <w:rFonts w:ascii="Arial" w:eastAsia="MS Mincho" w:hAnsi="Arial"/>
      <w:sz w:val="32"/>
    </w:rPr>
  </w:style>
  <w:style w:type="paragraph" w:styleId="2">
    <w:name w:val="heading 2"/>
    <w:basedOn w:val="a"/>
    <w:next w:val="a"/>
    <w:qFormat/>
    <w:pPr>
      <w:spacing w:before="180"/>
      <w:ind w:rightChars="100" w:right="100"/>
      <w:outlineLvl w:val="1"/>
    </w:pPr>
    <w:rPr>
      <w:sz w:val="28"/>
    </w:rPr>
  </w:style>
  <w:style w:type="paragraph" w:styleId="3">
    <w:name w:val="heading 3"/>
    <w:basedOn w:val="2"/>
    <w:next w:val="a"/>
    <w:qFormat/>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YJ--">
    <w:name w:val="YJ--正文"/>
    <w:basedOn w:val="a"/>
    <w:qFormat/>
    <w:pPr>
      <w:spacing w:beforeLines="150" w:afterLines="100"/>
      <w:ind w:firstLineChars="200" w:firstLine="1440"/>
    </w:pPr>
    <w:rPr>
      <w:rFonts w:eastAsia="Times New Roman" w:cs="宋体"/>
    </w:rPr>
  </w:style>
  <w:style w:type="paragraph" w:styleId="a3">
    <w:name w:val="caption"/>
    <w:basedOn w:val="a"/>
    <w:next w:val="a"/>
    <w:uiPriority w:val="99"/>
    <w:unhideWhenUsed/>
    <w:qFormat/>
    <w:pPr>
      <w:spacing w:line="240" w:lineRule="auto"/>
    </w:pPr>
    <w:rPr>
      <w:b/>
      <w:bCs/>
      <w:color w:val="4F81BD" w:themeColor="accent1"/>
      <w:sz w:val="18"/>
      <w:szCs w:val="18"/>
    </w:rPr>
  </w:style>
  <w:style w:type="paragraph" w:styleId="a4">
    <w:name w:val="Document Map"/>
    <w:basedOn w:val="a"/>
    <w:link w:val="Char"/>
    <w:uiPriority w:val="99"/>
    <w:semiHidden/>
    <w:unhideWhenUsed/>
    <w:qFormat/>
    <w:pPr>
      <w:spacing w:after="0" w:line="240" w:lineRule="auto"/>
    </w:pPr>
    <w:rPr>
      <w:rFonts w:ascii="Tahoma" w:hAnsi="Tahoma" w:cs="Tahoma"/>
      <w:sz w:val="16"/>
      <w:szCs w:val="16"/>
    </w:rPr>
  </w:style>
  <w:style w:type="paragraph" w:styleId="a5">
    <w:name w:val="annotation text"/>
    <w:basedOn w:val="a"/>
    <w:link w:val="Char0"/>
    <w:uiPriority w:val="99"/>
    <w:semiHidden/>
    <w:unhideWhenUsed/>
    <w:qFormat/>
    <w:pPr>
      <w:jc w:val="left"/>
    </w:pPr>
  </w:style>
  <w:style w:type="paragraph" w:styleId="a6">
    <w:name w:val="Body Text"/>
    <w:basedOn w:val="a"/>
    <w:unhideWhenUsed/>
    <w:qFormat/>
    <w:pPr>
      <w:widowControl w:val="0"/>
    </w:pPr>
    <w:rPr>
      <w:i/>
    </w:rPr>
  </w:style>
  <w:style w:type="paragraph" w:styleId="20">
    <w:name w:val="List 2"/>
    <w:basedOn w:val="a7"/>
    <w:qFormat/>
    <w:pPr>
      <w:ind w:left="851"/>
    </w:pPr>
  </w:style>
  <w:style w:type="paragraph" w:styleId="a7">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pPr>
      <w:spacing w:after="0" w:line="240" w:lineRule="auto"/>
    </w:pPr>
    <w:rPr>
      <w:rFonts w:ascii="Tahoma" w:hAnsi="Tahoma" w:cs="Tahoma"/>
      <w:sz w:val="16"/>
      <w:szCs w:val="16"/>
    </w:rPr>
  </w:style>
  <w:style w:type="paragraph" w:styleId="a9">
    <w:name w:val="footer"/>
    <w:basedOn w:val="a"/>
    <w:link w:val="Char2"/>
    <w:uiPriority w:val="99"/>
    <w:unhideWhenUsed/>
    <w:qFormat/>
    <w:pPr>
      <w:tabs>
        <w:tab w:val="center" w:pos="4153"/>
        <w:tab w:val="right" w:pos="8306"/>
      </w:tabs>
      <w:snapToGrid w:val="0"/>
      <w:jc w:val="left"/>
    </w:pPr>
    <w:rPr>
      <w:sz w:val="18"/>
      <w:szCs w:val="18"/>
    </w:rPr>
  </w:style>
  <w:style w:type="paragraph" w:styleId="aa">
    <w:name w:val="header"/>
    <w:basedOn w:val="a"/>
    <w:link w:val="Char3"/>
    <w:semiHidden/>
    <w:qFormat/>
    <w:pPr>
      <w:tabs>
        <w:tab w:val="center" w:pos="4680"/>
        <w:tab w:val="right" w:pos="9360"/>
      </w:tabs>
      <w:spacing w:after="0" w:line="240" w:lineRule="auto"/>
    </w:pPr>
  </w:style>
  <w:style w:type="paragraph" w:styleId="10">
    <w:name w:val="toc 1"/>
    <w:basedOn w:val="a"/>
    <w:next w:val="a"/>
    <w:uiPriority w:val="39"/>
    <w:unhideWhenUsed/>
    <w:qFormat/>
    <w:rPr>
      <w:rFonts w:eastAsiaTheme="minorEastAsia"/>
      <w:b/>
      <w:i/>
      <w:sz w:val="20"/>
    </w:rPr>
  </w:style>
  <w:style w:type="paragraph" w:styleId="ab">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ind w:leftChars="200" w:left="862" w:hangingChars="200" w:hanging="442"/>
    </w:pPr>
    <w:rPr>
      <w:b/>
      <w:i/>
      <w:sz w:val="20"/>
    </w:rPr>
  </w:style>
  <w:style w:type="paragraph" w:styleId="ac">
    <w:name w:val="Normal (Web)"/>
    <w:basedOn w:val="a"/>
    <w:semiHidden/>
    <w:unhideWhenUsed/>
    <w:qFormat/>
    <w:pPr>
      <w:spacing w:beforeAutospacing="1" w:after="0" w:afterAutospacing="1"/>
      <w:jc w:val="left"/>
    </w:pPr>
    <w:rPr>
      <w:kern w:val="0"/>
      <w:sz w:val="24"/>
    </w:rPr>
  </w:style>
  <w:style w:type="paragraph" w:styleId="ad">
    <w:name w:val="annotation subject"/>
    <w:basedOn w:val="a5"/>
    <w:next w:val="a5"/>
    <w:link w:val="Char4"/>
    <w:uiPriority w:val="99"/>
    <w:semiHidden/>
    <w:unhideWhenUsed/>
    <w:qFormat/>
    <w:pPr>
      <w:spacing w:line="240" w:lineRule="auto"/>
      <w:jc w:val="both"/>
    </w:pPr>
    <w:rPr>
      <w:b/>
      <w:bCs/>
      <w:sz w:val="20"/>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ind w:leftChars="200" w:left="862" w:hangingChars="200" w:hanging="442"/>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2">
    <w:name w:val="List Paragraph"/>
    <w:basedOn w:val="a"/>
    <w:link w:val="Char5"/>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3rdlevelproposal">
    <w:name w:val="3rd level proposal"/>
    <w:basedOn w:val="sub-proposal"/>
    <w:next w:val="a"/>
    <w:qFormat/>
    <w:pPr>
      <w:numPr>
        <w:numId w:val="6"/>
      </w:numPr>
      <w:ind w:leftChars="400" w:left="1282" w:hanging="442"/>
      <w:jc w:val="left"/>
    </w:pPr>
  </w:style>
  <w:style w:type="paragraph" w:customStyle="1" w:styleId="22">
    <w:name w:val="样式2"/>
    <w:basedOn w:val="a"/>
    <w:qFormat/>
  </w:style>
  <w:style w:type="paragraph" w:customStyle="1" w:styleId="3rdlevelobservation">
    <w:name w:val="3rd level observation"/>
    <w:basedOn w:val="sub-observation"/>
    <w:qFormat/>
    <w:pPr>
      <w:numPr>
        <w:numId w:val="7"/>
      </w:numPr>
      <w:ind w:leftChars="400" w:left="1282" w:hanging="442"/>
    </w:p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 w:type="paragraph" w:customStyle="1" w:styleId="TH">
    <w:name w:val="TH"/>
    <w:basedOn w:val="a"/>
    <w:qFormat/>
    <w:pPr>
      <w:keepNext/>
      <w:keepLines/>
      <w:spacing w:beforeLines="0" w:afterLines="0"/>
      <w:jc w:val="center"/>
    </w:pPr>
    <w:rPr>
      <w:rFonts w:ascii="Arial" w:eastAsia="Times New Roman" w:hAnsi="Arial" w:cs="Arial"/>
      <w:b/>
      <w:bCs/>
      <w:kern w:val="0"/>
      <w:sz w:val="24"/>
      <w:szCs w:val="24"/>
      <w:lang w:val="zh-CN" w:eastAsia="en-US"/>
    </w:rPr>
  </w:style>
  <w:style w:type="paragraph" w:customStyle="1" w:styleId="TAH">
    <w:name w:val="TAH"/>
    <w:basedOn w:val="TAC"/>
    <w:qFormat/>
    <w:rPr>
      <w:b/>
    </w:rPr>
  </w:style>
  <w:style w:type="paragraph" w:customStyle="1" w:styleId="TAC">
    <w:name w:val="TAC"/>
    <w:basedOn w:val="TAL"/>
    <w:qFormat/>
    <w:pPr>
      <w:spacing w:beforeLines="0" w:afterLines="0"/>
      <w:jc w:val="center"/>
    </w:pPr>
    <w:rPr>
      <w:rFonts w:eastAsia="Times New Roman" w:cs="Arial"/>
      <w:kern w:val="0"/>
      <w:szCs w:val="18"/>
      <w:lang w:val="zh-CN" w:eastAsia="en-US"/>
    </w:rPr>
  </w:style>
  <w:style w:type="paragraph" w:customStyle="1" w:styleId="TAL">
    <w:name w:val="TAL"/>
    <w:basedOn w:val="a"/>
    <w:qFormat/>
    <w:pPr>
      <w:keepNext/>
      <w:keepLines/>
    </w:pPr>
    <w:rPr>
      <w:rFonts w:ascii="Arial" w:hAnsi="Arial"/>
      <w:sz w:val="18"/>
    </w:rPr>
  </w:style>
  <w:style w:type="character" w:customStyle="1" w:styleId="Char3">
    <w:name w:val="页眉 Char"/>
    <w:basedOn w:val="a0"/>
    <w:link w:val="aa"/>
    <w:semiHidden/>
    <w:qFormat/>
    <w:rPr>
      <w:kern w:val="2"/>
      <w:sz w:val="21"/>
    </w:rPr>
  </w:style>
  <w:style w:type="character" w:customStyle="1" w:styleId="Char2">
    <w:name w:val="页脚 Char"/>
    <w:basedOn w:val="a0"/>
    <w:link w:val="a9"/>
    <w:uiPriority w:val="99"/>
    <w:qFormat/>
    <w:rPr>
      <w:kern w:val="2"/>
      <w:sz w:val="18"/>
      <w:szCs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GB" w:eastAsia="en-GB"/>
    </w:rPr>
  </w:style>
  <w:style w:type="character" w:customStyle="1" w:styleId="colour">
    <w:name w:val="colour"/>
    <w:basedOn w:val="a0"/>
    <w:qFormat/>
  </w:style>
  <w:style w:type="paragraph" w:customStyle="1" w:styleId="B1">
    <w:name w:val="B1"/>
    <w:basedOn w:val="a7"/>
    <w:qFormat/>
  </w:style>
  <w:style w:type="paragraph" w:customStyle="1" w:styleId="B2">
    <w:name w:val="B2"/>
    <w:basedOn w:val="20"/>
    <w:qFormat/>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3GPPNormalText">
    <w:name w:val="3GPP Normal Text"/>
    <w:basedOn w:val="a6"/>
    <w:qFormat/>
    <w:rPr>
      <w:rFonts w:eastAsia="MS Mincho"/>
      <w:sz w:val="22"/>
    </w:rPr>
  </w:style>
  <w:style w:type="character" w:customStyle="1" w:styleId="Char1">
    <w:name w:val="批注框文本 Char"/>
    <w:basedOn w:val="a0"/>
    <w:link w:val="a8"/>
    <w:uiPriority w:val="99"/>
    <w:semiHidden/>
    <w:qFormat/>
    <w:rPr>
      <w:rFonts w:ascii="Tahoma" w:eastAsia="宋体" w:hAnsi="Tahoma" w:cs="Tahoma"/>
      <w:kern w:val="2"/>
      <w:sz w:val="16"/>
      <w:szCs w:val="16"/>
    </w:rPr>
  </w:style>
  <w:style w:type="character" w:customStyle="1" w:styleId="Char">
    <w:name w:val="文档结构图 Char"/>
    <w:basedOn w:val="a0"/>
    <w:link w:val="a4"/>
    <w:uiPriority w:val="99"/>
    <w:semiHidden/>
    <w:qFormat/>
    <w:rPr>
      <w:rFonts w:ascii="Tahoma" w:eastAsia="宋体" w:hAnsi="Tahoma" w:cs="Tahoma"/>
      <w:kern w:val="2"/>
      <w:sz w:val="16"/>
      <w:szCs w:val="16"/>
    </w:rPr>
  </w:style>
  <w:style w:type="character" w:customStyle="1" w:styleId="Char0">
    <w:name w:val="批注文字 Char"/>
    <w:basedOn w:val="a0"/>
    <w:link w:val="a5"/>
    <w:uiPriority w:val="99"/>
    <w:semiHidden/>
    <w:qFormat/>
    <w:rPr>
      <w:rFonts w:eastAsia="宋体"/>
      <w:kern w:val="2"/>
      <w:sz w:val="21"/>
    </w:rPr>
  </w:style>
  <w:style w:type="character" w:customStyle="1" w:styleId="Char4">
    <w:name w:val="批注主题 Char"/>
    <w:basedOn w:val="Char0"/>
    <w:link w:val="ad"/>
    <w:qFormat/>
    <w:rPr>
      <w:rFonts w:eastAsia="宋体"/>
      <w:kern w:val="2"/>
      <w:sz w:val="21"/>
    </w:rPr>
  </w:style>
  <w:style w:type="character" w:customStyle="1" w:styleId="Char5">
    <w:name w:val="列出段落 Char"/>
    <w:basedOn w:val="a0"/>
    <w:link w:val="af2"/>
    <w:uiPriority w:val="11"/>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13FD1-F73C-4AA9-ABE5-F19B087F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2801</Words>
  <Characters>15968</Characters>
  <Application>Microsoft Office Word</Application>
  <DocSecurity>0</DocSecurity>
  <Lines>133</Lines>
  <Paragraphs>37</Paragraphs>
  <ScaleCrop>false</ScaleCrop>
  <Company>Microsoft</Company>
  <LinksUpToDate>false</LinksUpToDate>
  <CharactersWithSpaces>18732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XWM</cp:lastModifiedBy>
  <cp:revision>76</cp:revision>
  <dcterms:created xsi:type="dcterms:W3CDTF">2019-04-08T03:09:00Z</dcterms:created>
  <dcterms:modified xsi:type="dcterms:W3CDTF">2020-10-23T06:59:00Z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